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6B" w:rsidRDefault="00E7786B" w:rsidP="00E7786B">
      <w:pPr>
        <w:jc w:val="center"/>
        <w:rPr>
          <w:rFonts w:ascii="Arial" w:hAnsi="Arial" w:cs="Arial"/>
          <w:b/>
          <w:bCs/>
          <w:sz w:val="27"/>
          <w:szCs w:val="27"/>
        </w:rPr>
      </w:pPr>
      <w:r>
        <w:rPr>
          <w:rFonts w:ascii="Arial" w:hAnsi="Arial" w:cs="Arial"/>
          <w:b/>
          <w:bCs/>
          <w:sz w:val="27"/>
          <w:szCs w:val="27"/>
        </w:rPr>
        <w:t>CORPORACION NACIONAL DEL COBRE DE CHILE</w:t>
      </w:r>
    </w:p>
    <w:p w:rsidR="00E7786B" w:rsidRDefault="00E7786B" w:rsidP="00E7786B">
      <w:pPr>
        <w:jc w:val="center"/>
        <w:rPr>
          <w:rFonts w:ascii="Arial" w:hAnsi="Arial" w:cs="Arial"/>
          <w:b/>
          <w:bCs/>
          <w:sz w:val="27"/>
          <w:szCs w:val="27"/>
        </w:rPr>
      </w:pPr>
      <w:r>
        <w:rPr>
          <w:rFonts w:ascii="Arial" w:hAnsi="Arial" w:cs="Arial"/>
          <w:b/>
          <w:bCs/>
          <w:sz w:val="27"/>
          <w:szCs w:val="27"/>
        </w:rPr>
        <w:t>DIVISION SALVADOR</w:t>
      </w:r>
    </w:p>
    <w:p w:rsidR="00E7786B" w:rsidRDefault="00E7786B" w:rsidP="00E7786B">
      <w:pPr>
        <w:jc w:val="center"/>
        <w:rPr>
          <w:rFonts w:ascii="Arial" w:hAnsi="Arial" w:cs="Arial"/>
          <w:b/>
          <w:bCs/>
          <w:sz w:val="27"/>
          <w:szCs w:val="27"/>
        </w:rPr>
      </w:pPr>
      <w:r>
        <w:rPr>
          <w:rFonts w:ascii="Arial" w:hAnsi="Arial" w:cs="Arial"/>
          <w:b/>
          <w:bCs/>
          <w:sz w:val="27"/>
          <w:szCs w:val="27"/>
        </w:rPr>
        <w:t>DIRECCION DE ABASTECIMIENTO</w:t>
      </w:r>
    </w:p>
    <w:p w:rsidR="00E7786B" w:rsidRDefault="00E7786B" w:rsidP="00E7786B">
      <w:pPr>
        <w:jc w:val="center"/>
        <w:rPr>
          <w:rFonts w:ascii="Arial" w:hAnsi="Arial" w:cs="Arial"/>
          <w:b/>
          <w:bCs/>
          <w:sz w:val="27"/>
          <w:szCs w:val="27"/>
        </w:rPr>
      </w:pPr>
    </w:p>
    <w:p w:rsidR="00E7786B" w:rsidRDefault="00E7786B" w:rsidP="00E7786B">
      <w:pPr>
        <w:jc w:val="center"/>
        <w:rPr>
          <w:rFonts w:ascii="Arial" w:hAnsi="Arial" w:cs="Arial"/>
          <w:b/>
          <w:bCs/>
          <w:sz w:val="27"/>
          <w:szCs w:val="27"/>
        </w:rPr>
      </w:pPr>
    </w:p>
    <w:p w:rsidR="00E7786B" w:rsidRDefault="00E7786B" w:rsidP="00E7786B">
      <w:pPr>
        <w:jc w:val="center"/>
        <w:rPr>
          <w:rFonts w:ascii="Arial" w:hAnsi="Arial" w:cs="Arial"/>
          <w:b/>
          <w:bCs/>
          <w:sz w:val="27"/>
          <w:szCs w:val="27"/>
        </w:rPr>
      </w:pPr>
      <w:r>
        <w:rPr>
          <w:rFonts w:ascii="Helvetica LT Std" w:hAnsi="Helvetica LT Std"/>
          <w:noProof/>
          <w:lang w:eastAsia="es-CL"/>
        </w:rPr>
        <w:drawing>
          <wp:inline distT="0" distB="0" distL="0" distR="0" wp14:anchorId="65047685" wp14:editId="7743B0DE">
            <wp:extent cx="2132934" cy="1625203"/>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C.jpg"/>
                    <pic:cNvPicPr/>
                  </pic:nvPicPr>
                  <pic:blipFill rotWithShape="1">
                    <a:blip r:embed="rId7">
                      <a:extLst>
                        <a:ext uri="{28A0092B-C50C-407E-A947-70E740481C1C}">
                          <a14:useLocalDpi xmlns:a14="http://schemas.microsoft.com/office/drawing/2010/main" val="0"/>
                        </a:ext>
                      </a:extLst>
                    </a:blip>
                    <a:srcRect t="40239"/>
                    <a:stretch/>
                  </pic:blipFill>
                  <pic:spPr bwMode="auto">
                    <a:xfrm>
                      <a:off x="0" y="0"/>
                      <a:ext cx="2136643" cy="1628029"/>
                    </a:xfrm>
                    <a:prstGeom prst="rect">
                      <a:avLst/>
                    </a:prstGeom>
                    <a:ln>
                      <a:noFill/>
                    </a:ln>
                    <a:extLst>
                      <a:ext uri="{53640926-AAD7-44D8-BBD7-CCE9431645EC}">
                        <a14:shadowObscured xmlns:a14="http://schemas.microsoft.com/office/drawing/2010/main"/>
                      </a:ext>
                    </a:extLst>
                  </pic:spPr>
                </pic:pic>
              </a:graphicData>
            </a:graphic>
          </wp:inline>
        </w:drawing>
      </w:r>
    </w:p>
    <w:p w:rsidR="00E7786B" w:rsidRDefault="00E7786B" w:rsidP="00E7786B">
      <w:pPr>
        <w:jc w:val="center"/>
        <w:rPr>
          <w:rFonts w:ascii="Arial" w:hAnsi="Arial" w:cs="Arial"/>
          <w:b/>
          <w:bCs/>
          <w:sz w:val="27"/>
          <w:szCs w:val="27"/>
        </w:rPr>
      </w:pPr>
    </w:p>
    <w:p w:rsidR="00E7786B" w:rsidRDefault="00E7786B" w:rsidP="00E7786B">
      <w:pPr>
        <w:jc w:val="center"/>
        <w:rPr>
          <w:rFonts w:ascii="Arial" w:hAnsi="Arial" w:cs="Arial"/>
          <w:b/>
          <w:bCs/>
          <w:sz w:val="27"/>
          <w:szCs w:val="27"/>
        </w:rPr>
      </w:pPr>
    </w:p>
    <w:p w:rsidR="00E7786B" w:rsidRDefault="00E7786B" w:rsidP="00E7786B">
      <w:pPr>
        <w:jc w:val="center"/>
        <w:rPr>
          <w:rFonts w:ascii="Arial" w:hAnsi="Arial" w:cs="Arial"/>
          <w:b/>
          <w:bCs/>
          <w:sz w:val="27"/>
          <w:szCs w:val="27"/>
        </w:rPr>
      </w:pPr>
    </w:p>
    <w:p w:rsidR="00E7786B" w:rsidRPr="00E254A3" w:rsidRDefault="00E7786B" w:rsidP="00E7786B">
      <w:pPr>
        <w:jc w:val="center"/>
      </w:pPr>
      <w:r>
        <w:rPr>
          <w:rFonts w:ascii="Arial" w:hAnsi="Arial" w:cs="Arial"/>
          <w:b/>
          <w:bCs/>
          <w:sz w:val="27"/>
          <w:szCs w:val="27"/>
        </w:rPr>
        <w:t>RESUMEN EJECUTIVO</w:t>
      </w:r>
    </w:p>
    <w:p w:rsidR="00E7786B" w:rsidRPr="005E509D" w:rsidRDefault="00E7786B" w:rsidP="00E7786B">
      <w:pPr>
        <w:pStyle w:val="NormalWeb"/>
        <w:spacing w:before="0" w:beforeAutospacing="0" w:after="200" w:afterAutospacing="0"/>
        <w:jc w:val="center"/>
      </w:pPr>
      <w:r>
        <w:rPr>
          <w:rFonts w:ascii="Arial" w:hAnsi="Arial" w:cs="Arial"/>
          <w:b/>
          <w:bCs/>
          <w:sz w:val="27"/>
          <w:szCs w:val="27"/>
        </w:rPr>
        <w:t xml:space="preserve">LICITACIÓN </w:t>
      </w:r>
    </w:p>
    <w:p w:rsidR="00E7786B" w:rsidRDefault="00E7786B" w:rsidP="00E7786B">
      <w:pPr>
        <w:jc w:val="center"/>
        <w:rPr>
          <w:rFonts w:ascii="Arial" w:hAnsi="Arial" w:cs="Arial"/>
          <w:b/>
          <w:bCs/>
          <w:sz w:val="27"/>
          <w:szCs w:val="27"/>
        </w:rPr>
      </w:pPr>
      <w:r w:rsidRPr="00BA7D0B">
        <w:rPr>
          <w:rFonts w:ascii="Arial" w:hAnsi="Arial" w:cs="Arial"/>
          <w:b/>
          <w:bCs/>
          <w:sz w:val="27"/>
          <w:szCs w:val="27"/>
        </w:rPr>
        <w:t>“</w:t>
      </w:r>
      <w:r w:rsidR="00533603" w:rsidRPr="00533603">
        <w:rPr>
          <w:b/>
          <w:sz w:val="28"/>
        </w:rPr>
        <w:t>SERVICIO DE MANTENIMIENTO CELDAS DE MEDIA TENSIÓN, POTRERILLOS 2017</w:t>
      </w:r>
      <w:r w:rsidRPr="00BA7D0B">
        <w:rPr>
          <w:rFonts w:ascii="Arial" w:hAnsi="Arial" w:cs="Arial"/>
          <w:b/>
          <w:bCs/>
          <w:sz w:val="27"/>
          <w:szCs w:val="27"/>
        </w:rPr>
        <w:t>”</w:t>
      </w:r>
    </w:p>
    <w:p w:rsidR="00E7786B" w:rsidRDefault="00E7786B" w:rsidP="00E7786B">
      <w:pPr>
        <w:jc w:val="center"/>
        <w:rPr>
          <w:rFonts w:ascii="Arial" w:hAnsi="Arial" w:cs="Arial"/>
          <w:b/>
          <w:bCs/>
          <w:sz w:val="27"/>
          <w:szCs w:val="27"/>
        </w:rPr>
      </w:pPr>
    </w:p>
    <w:p w:rsidR="00E7786B" w:rsidRDefault="00E7786B" w:rsidP="00E7786B">
      <w:pPr>
        <w:jc w:val="center"/>
        <w:rPr>
          <w:rFonts w:ascii="Arial" w:hAnsi="Arial" w:cs="Arial"/>
          <w:b/>
          <w:bCs/>
          <w:sz w:val="27"/>
          <w:szCs w:val="27"/>
        </w:rPr>
      </w:pPr>
    </w:p>
    <w:p w:rsidR="00E7786B" w:rsidRDefault="00E7786B" w:rsidP="00E7786B">
      <w:pPr>
        <w:jc w:val="center"/>
        <w:rPr>
          <w:rFonts w:ascii="Arial" w:hAnsi="Arial" w:cs="Arial"/>
          <w:b/>
          <w:bCs/>
          <w:sz w:val="27"/>
          <w:szCs w:val="27"/>
        </w:rPr>
      </w:pPr>
    </w:p>
    <w:p w:rsidR="00E7786B" w:rsidRDefault="00E7786B" w:rsidP="00E7786B">
      <w:pPr>
        <w:jc w:val="center"/>
        <w:rPr>
          <w:rFonts w:ascii="Arial" w:hAnsi="Arial" w:cs="Arial"/>
          <w:b/>
          <w:bCs/>
          <w:sz w:val="27"/>
          <w:szCs w:val="27"/>
        </w:rPr>
      </w:pPr>
    </w:p>
    <w:p w:rsidR="00E7786B" w:rsidRDefault="00E7786B" w:rsidP="00E7786B">
      <w:pPr>
        <w:jc w:val="center"/>
        <w:rPr>
          <w:rFonts w:ascii="Arial" w:hAnsi="Arial" w:cs="Arial"/>
          <w:b/>
          <w:bCs/>
          <w:sz w:val="27"/>
          <w:szCs w:val="27"/>
        </w:rPr>
      </w:pPr>
    </w:p>
    <w:p w:rsidR="00E7786B" w:rsidRDefault="00050467" w:rsidP="00E7786B">
      <w:pPr>
        <w:jc w:val="center"/>
        <w:rPr>
          <w:rFonts w:ascii="Arial" w:hAnsi="Arial" w:cs="Arial"/>
          <w:b/>
          <w:bCs/>
          <w:sz w:val="27"/>
          <w:szCs w:val="27"/>
        </w:rPr>
      </w:pPr>
      <w:r>
        <w:rPr>
          <w:rFonts w:ascii="Arial" w:hAnsi="Arial" w:cs="Arial"/>
          <w:b/>
          <w:bCs/>
          <w:sz w:val="27"/>
          <w:szCs w:val="27"/>
        </w:rPr>
        <w:t>1</w:t>
      </w:r>
      <w:r w:rsidR="00533603">
        <w:rPr>
          <w:rFonts w:ascii="Arial" w:hAnsi="Arial" w:cs="Arial"/>
          <w:b/>
          <w:bCs/>
          <w:sz w:val="27"/>
          <w:szCs w:val="27"/>
        </w:rPr>
        <w:t>9</w:t>
      </w:r>
      <w:r w:rsidR="00E7786B">
        <w:rPr>
          <w:rFonts w:ascii="Arial" w:hAnsi="Arial" w:cs="Arial"/>
          <w:b/>
          <w:bCs/>
          <w:sz w:val="27"/>
          <w:szCs w:val="27"/>
        </w:rPr>
        <w:t xml:space="preserve"> de Julio 2017</w:t>
      </w:r>
    </w:p>
    <w:p w:rsidR="00E7786B" w:rsidRDefault="00E7786B">
      <w:pPr>
        <w:rPr>
          <w:rFonts w:ascii="Arial" w:hAnsi="Arial" w:cs="Arial"/>
          <w:b/>
          <w:bCs/>
          <w:sz w:val="27"/>
          <w:szCs w:val="27"/>
        </w:rPr>
      </w:pPr>
      <w:r>
        <w:rPr>
          <w:rFonts w:ascii="Arial" w:hAnsi="Arial" w:cs="Arial"/>
          <w:b/>
          <w:bCs/>
          <w:sz w:val="27"/>
          <w:szCs w:val="27"/>
        </w:rPr>
        <w:br w:type="page"/>
      </w:r>
    </w:p>
    <w:p w:rsidR="00E7786B" w:rsidRPr="00E7786B" w:rsidRDefault="00E7786B" w:rsidP="00E7786B">
      <w:pPr>
        <w:jc w:val="center"/>
        <w:rPr>
          <w:b/>
        </w:rPr>
      </w:pPr>
      <w:r w:rsidRPr="00E7786B">
        <w:rPr>
          <w:b/>
        </w:rPr>
        <w:lastRenderedPageBreak/>
        <w:t>“</w:t>
      </w:r>
      <w:r w:rsidR="00533603" w:rsidRPr="00533603">
        <w:rPr>
          <w:b/>
          <w:sz w:val="28"/>
        </w:rPr>
        <w:t>SERVICIO DE MANTENIMIENTO CELDAS DE MEDIA TENSIÓN, POTRERILLOS 2017</w:t>
      </w:r>
      <w:r w:rsidRPr="00E7786B">
        <w:rPr>
          <w:b/>
        </w:rPr>
        <w:t>”</w:t>
      </w:r>
    </w:p>
    <w:p w:rsidR="00E7786B" w:rsidRPr="00E7786B" w:rsidRDefault="00E7786B" w:rsidP="00E7786B">
      <w:pPr>
        <w:rPr>
          <w:b/>
        </w:rPr>
      </w:pPr>
      <w:r w:rsidRPr="00E7786B">
        <w:rPr>
          <w:b/>
        </w:rPr>
        <w:t>1. SERVICIO A LICITAR</w:t>
      </w:r>
    </w:p>
    <w:p w:rsidR="00E7786B" w:rsidRDefault="00E7786B" w:rsidP="00E7786B">
      <w:pPr>
        <w:jc w:val="both"/>
      </w:pPr>
      <w:r>
        <w:t>A través del presente proceso de licitación pública, la Corporación Nacional del Cobre de Chile en adelante “Codelco”, “Codelco- Chile”, “La Corporación” o la “División Salvador” – invita a empresas con reconocida experiencia en la materia, a presentar ofertas por el servicio denominado “</w:t>
      </w:r>
      <w:r w:rsidR="00533603" w:rsidRPr="00533603">
        <w:t>SERVICIO DE MANTENIMIENTO CELDAS DE MEDIA TENSIÓN, POTRERILLOS 2017</w:t>
      </w:r>
      <w:r>
        <w:t>”.</w:t>
      </w:r>
    </w:p>
    <w:p w:rsidR="00E7786B" w:rsidRPr="00E7786B" w:rsidRDefault="00E7786B" w:rsidP="00E7786B">
      <w:pPr>
        <w:rPr>
          <w:b/>
        </w:rPr>
      </w:pPr>
      <w:r w:rsidRPr="00E7786B">
        <w:rPr>
          <w:b/>
        </w:rPr>
        <w:t>2. BREVE DESCRIPCIÓN DEL ALCANCE</w:t>
      </w:r>
    </w:p>
    <w:p w:rsidR="00533603" w:rsidRDefault="00533603" w:rsidP="00533603">
      <w:pPr>
        <w:spacing w:before="240"/>
        <w:jc w:val="both"/>
      </w:pPr>
      <w:r>
        <w:t>El alcance del servicio solicitado</w:t>
      </w:r>
      <w:r w:rsidRPr="006B26D6">
        <w:t xml:space="preserve"> </w:t>
      </w:r>
      <w:r>
        <w:t xml:space="preserve">en la presente base técnica es en el mantenimiento de las celdas de media tensión (12[KV], 4,16[KV] y 2,1[KV]), que son parte del accionamiento de equipos eléctricos que operan en las áreas de Planta de Oxígeno (POX), Planta de Ácido (PAS), Casa Compresora (CCP), Planta de Secado (PSF), Refinería y PFE. Para mayor detalle, </w:t>
      </w:r>
      <w:r w:rsidRPr="00742295">
        <w:t>ver ANEXO N° 2</w:t>
      </w:r>
    </w:p>
    <w:p w:rsidR="00533603" w:rsidRPr="006B26D6" w:rsidRDefault="00533603" w:rsidP="00533603">
      <w:pPr>
        <w:spacing w:before="240"/>
      </w:pPr>
    </w:p>
    <w:tbl>
      <w:tblPr>
        <w:tblW w:w="6600" w:type="dxa"/>
        <w:jc w:val="center"/>
        <w:tblInd w:w="55" w:type="dxa"/>
        <w:tblCellMar>
          <w:left w:w="70" w:type="dxa"/>
          <w:right w:w="70" w:type="dxa"/>
        </w:tblCellMar>
        <w:tblLook w:val="04A0" w:firstRow="1" w:lastRow="0" w:firstColumn="1" w:lastColumn="0" w:noHBand="0" w:noVBand="1"/>
      </w:tblPr>
      <w:tblGrid>
        <w:gridCol w:w="6600"/>
      </w:tblGrid>
      <w:tr w:rsidR="00533603" w:rsidRPr="00C10AA4" w:rsidTr="00793F90">
        <w:trPr>
          <w:trHeight w:val="498"/>
          <w:jc w:val="center"/>
        </w:trPr>
        <w:tc>
          <w:tcPr>
            <w:tcW w:w="6600" w:type="dxa"/>
            <w:tcBorders>
              <w:top w:val="single" w:sz="4" w:space="0" w:color="auto"/>
              <w:left w:val="single" w:sz="4" w:space="0" w:color="auto"/>
              <w:bottom w:val="single" w:sz="8" w:space="0" w:color="auto"/>
              <w:right w:val="single" w:sz="4" w:space="0" w:color="auto"/>
            </w:tcBorders>
            <w:shd w:val="clear" w:color="auto" w:fill="FFFFFF" w:themeFill="background1"/>
            <w:noWrap/>
            <w:vAlign w:val="center"/>
            <w:hideMark/>
          </w:tcPr>
          <w:p w:rsidR="00533603" w:rsidRPr="00C10AA4" w:rsidRDefault="00533603" w:rsidP="00793F90">
            <w:pPr>
              <w:jc w:val="center"/>
              <w:rPr>
                <w:rFonts w:ascii="Calibri" w:hAnsi="Calibri" w:cs="Times New Roman"/>
                <w:b/>
                <w:bCs/>
                <w:color w:val="000000"/>
                <w:lang w:eastAsia="es-CL"/>
              </w:rPr>
            </w:pPr>
            <w:r w:rsidRPr="00C10AA4">
              <w:rPr>
                <w:rFonts w:ascii="Calibri" w:hAnsi="Calibri" w:cs="Times New Roman"/>
                <w:b/>
                <w:bCs/>
                <w:color w:val="000000"/>
                <w:lang w:eastAsia="es-CL"/>
              </w:rPr>
              <w:t>Ítem</w:t>
            </w:r>
          </w:p>
        </w:tc>
      </w:tr>
      <w:tr w:rsidR="00533603" w:rsidRPr="00C10AA4" w:rsidTr="00793F90">
        <w:trPr>
          <w:trHeight w:val="615"/>
          <w:jc w:val="center"/>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533603" w:rsidRPr="00C10AA4" w:rsidRDefault="00533603" w:rsidP="00793F90">
            <w:pPr>
              <w:rPr>
                <w:rFonts w:ascii="Calibri" w:hAnsi="Calibri" w:cs="Times New Roman"/>
                <w:color w:val="000000"/>
                <w:lang w:eastAsia="es-CL"/>
              </w:rPr>
            </w:pPr>
            <w:proofErr w:type="spellStart"/>
            <w:r w:rsidRPr="00C10AA4">
              <w:rPr>
                <w:rFonts w:ascii="Calibri" w:hAnsi="Calibri" w:cs="Times New Roman"/>
                <w:color w:val="000000"/>
                <w:lang w:eastAsia="es-CL"/>
              </w:rPr>
              <w:t>Mtto</w:t>
            </w:r>
            <w:proofErr w:type="spellEnd"/>
            <w:r>
              <w:rPr>
                <w:rFonts w:ascii="Calibri" w:hAnsi="Calibri" w:cs="Times New Roman"/>
                <w:color w:val="000000"/>
                <w:lang w:eastAsia="es-CL"/>
              </w:rPr>
              <w:t>.</w:t>
            </w:r>
            <w:r w:rsidRPr="00C10AA4">
              <w:rPr>
                <w:rFonts w:ascii="Calibri" w:hAnsi="Calibri" w:cs="Times New Roman"/>
                <w:color w:val="000000"/>
                <w:lang w:eastAsia="es-CL"/>
              </w:rPr>
              <w:t xml:space="preserve"> de interruptores al vacío o en SF6</w:t>
            </w:r>
          </w:p>
        </w:tc>
      </w:tr>
      <w:tr w:rsidR="00533603" w:rsidRPr="00C10AA4" w:rsidTr="00793F90">
        <w:trPr>
          <w:trHeight w:val="615"/>
          <w:jc w:val="center"/>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533603" w:rsidRPr="00C10AA4" w:rsidRDefault="00533603" w:rsidP="00793F90">
            <w:pPr>
              <w:rPr>
                <w:rFonts w:ascii="Calibri" w:hAnsi="Calibri" w:cs="Times New Roman"/>
                <w:color w:val="000000"/>
                <w:lang w:eastAsia="es-CL"/>
              </w:rPr>
            </w:pPr>
            <w:r w:rsidRPr="00C10AA4">
              <w:rPr>
                <w:rFonts w:ascii="Calibri" w:hAnsi="Calibri" w:cs="Times New Roman"/>
                <w:color w:val="000000"/>
                <w:lang w:eastAsia="es-CL"/>
              </w:rPr>
              <w:t>Pruebas, mediciones y ensayos a interruptores al vacío o en SF6</w:t>
            </w:r>
          </w:p>
        </w:tc>
      </w:tr>
      <w:tr w:rsidR="00533603" w:rsidRPr="00C10AA4" w:rsidTr="00793F90">
        <w:trPr>
          <w:trHeight w:val="615"/>
          <w:jc w:val="center"/>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533603" w:rsidRPr="00C10AA4" w:rsidRDefault="00533603" w:rsidP="00793F90">
            <w:pPr>
              <w:rPr>
                <w:rFonts w:ascii="Calibri" w:hAnsi="Calibri" w:cs="Times New Roman"/>
                <w:color w:val="000000"/>
                <w:lang w:eastAsia="es-CL"/>
              </w:rPr>
            </w:pPr>
            <w:r w:rsidRPr="00C10AA4">
              <w:rPr>
                <w:rFonts w:ascii="Calibri" w:hAnsi="Calibri" w:cs="Times New Roman"/>
                <w:color w:val="000000"/>
                <w:lang w:eastAsia="es-CL"/>
              </w:rPr>
              <w:t>Mantenimiento de celdas de media tensión (cubículo de interruptores y barras)</w:t>
            </w:r>
          </w:p>
        </w:tc>
      </w:tr>
      <w:tr w:rsidR="00533603" w:rsidRPr="00C10AA4" w:rsidTr="00793F90">
        <w:trPr>
          <w:trHeight w:val="615"/>
          <w:jc w:val="center"/>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533603" w:rsidRPr="00C10AA4" w:rsidRDefault="00533603" w:rsidP="00793F90">
            <w:pPr>
              <w:rPr>
                <w:rFonts w:ascii="Calibri" w:hAnsi="Calibri" w:cs="Times New Roman"/>
                <w:color w:val="000000"/>
                <w:lang w:eastAsia="es-CL"/>
              </w:rPr>
            </w:pPr>
            <w:r w:rsidRPr="00C10AA4">
              <w:rPr>
                <w:rFonts w:ascii="Calibri" w:hAnsi="Calibri" w:cs="Times New Roman"/>
                <w:color w:val="000000"/>
                <w:lang w:eastAsia="es-CL"/>
              </w:rPr>
              <w:t xml:space="preserve">Mantenimiento de </w:t>
            </w:r>
            <w:proofErr w:type="spellStart"/>
            <w:r w:rsidRPr="00C10AA4">
              <w:rPr>
                <w:rFonts w:ascii="Calibri" w:hAnsi="Calibri" w:cs="Times New Roman"/>
                <w:color w:val="000000"/>
                <w:lang w:eastAsia="es-CL"/>
              </w:rPr>
              <w:t>desconectadores</w:t>
            </w:r>
            <w:proofErr w:type="spellEnd"/>
            <w:r w:rsidRPr="00C10AA4">
              <w:rPr>
                <w:rFonts w:ascii="Calibri" w:hAnsi="Calibri" w:cs="Times New Roman"/>
                <w:color w:val="000000"/>
                <w:lang w:eastAsia="es-CL"/>
              </w:rPr>
              <w:t xml:space="preserve"> fusibles bajo carga</w:t>
            </w:r>
          </w:p>
        </w:tc>
      </w:tr>
      <w:tr w:rsidR="00533603" w:rsidRPr="00C10AA4" w:rsidTr="00793F90">
        <w:trPr>
          <w:trHeight w:val="615"/>
          <w:jc w:val="center"/>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533603" w:rsidRPr="00C10AA4" w:rsidRDefault="00533603" w:rsidP="00793F90">
            <w:pPr>
              <w:rPr>
                <w:rFonts w:ascii="Calibri" w:hAnsi="Calibri" w:cs="Times New Roman"/>
                <w:color w:val="000000"/>
                <w:lang w:eastAsia="es-CL"/>
              </w:rPr>
            </w:pPr>
            <w:r w:rsidRPr="00C10AA4">
              <w:rPr>
                <w:rFonts w:ascii="Calibri" w:hAnsi="Calibri" w:cs="Times New Roman"/>
                <w:color w:val="000000"/>
                <w:lang w:eastAsia="es-CL"/>
              </w:rPr>
              <w:t xml:space="preserve">Pruebas, mediciones y ensayos a </w:t>
            </w:r>
            <w:r>
              <w:rPr>
                <w:rFonts w:ascii="Calibri" w:hAnsi="Calibri" w:cs="Times New Roman"/>
                <w:color w:val="000000"/>
                <w:lang w:eastAsia="es-CL"/>
              </w:rPr>
              <w:t>s</w:t>
            </w:r>
            <w:r w:rsidRPr="00C10AA4">
              <w:rPr>
                <w:rFonts w:ascii="Calibri" w:hAnsi="Calibri" w:cs="Times New Roman"/>
                <w:color w:val="000000"/>
                <w:lang w:eastAsia="es-CL"/>
              </w:rPr>
              <w:t>eccionadores bajo carga</w:t>
            </w:r>
          </w:p>
        </w:tc>
      </w:tr>
      <w:tr w:rsidR="00533603" w:rsidRPr="00C10AA4" w:rsidTr="00793F90">
        <w:trPr>
          <w:trHeight w:val="615"/>
          <w:jc w:val="center"/>
        </w:trPr>
        <w:tc>
          <w:tcPr>
            <w:tcW w:w="6600" w:type="dxa"/>
            <w:tcBorders>
              <w:top w:val="nil"/>
              <w:left w:val="single" w:sz="4" w:space="0" w:color="auto"/>
              <w:bottom w:val="single" w:sz="4" w:space="0" w:color="auto"/>
              <w:right w:val="single" w:sz="4" w:space="0" w:color="auto"/>
            </w:tcBorders>
            <w:shd w:val="clear" w:color="auto" w:fill="auto"/>
            <w:vAlign w:val="center"/>
            <w:hideMark/>
          </w:tcPr>
          <w:p w:rsidR="00533603" w:rsidRPr="00C10AA4" w:rsidRDefault="00533603" w:rsidP="00793F90">
            <w:pPr>
              <w:rPr>
                <w:rFonts w:ascii="Calibri" w:hAnsi="Calibri" w:cs="Times New Roman"/>
                <w:color w:val="000000"/>
                <w:lang w:eastAsia="es-CL"/>
              </w:rPr>
            </w:pPr>
            <w:r w:rsidRPr="00C10AA4">
              <w:rPr>
                <w:rFonts w:ascii="Calibri" w:hAnsi="Calibri" w:cs="Times New Roman"/>
                <w:color w:val="000000"/>
                <w:lang w:eastAsia="es-CL"/>
              </w:rPr>
              <w:t xml:space="preserve">Mantenimiento de Celdas </w:t>
            </w:r>
            <w:proofErr w:type="spellStart"/>
            <w:r w:rsidRPr="00C10AA4">
              <w:rPr>
                <w:rFonts w:ascii="Calibri" w:hAnsi="Calibri" w:cs="Times New Roman"/>
                <w:color w:val="000000"/>
                <w:lang w:eastAsia="es-CL"/>
              </w:rPr>
              <w:t>desconetadoras</w:t>
            </w:r>
            <w:proofErr w:type="spellEnd"/>
            <w:r w:rsidRPr="00C10AA4">
              <w:rPr>
                <w:rFonts w:ascii="Calibri" w:hAnsi="Calibri" w:cs="Times New Roman"/>
                <w:color w:val="000000"/>
                <w:lang w:eastAsia="es-CL"/>
              </w:rPr>
              <w:t xml:space="preserve"> </w:t>
            </w:r>
            <w:r>
              <w:rPr>
                <w:rFonts w:ascii="Calibri" w:hAnsi="Calibri" w:cs="Times New Roman"/>
                <w:color w:val="000000"/>
                <w:lang w:eastAsia="es-CL"/>
              </w:rPr>
              <w:t>de</w:t>
            </w:r>
            <w:r w:rsidRPr="00C10AA4">
              <w:rPr>
                <w:rFonts w:ascii="Calibri" w:hAnsi="Calibri" w:cs="Times New Roman"/>
                <w:color w:val="000000"/>
                <w:lang w:eastAsia="es-CL"/>
              </w:rPr>
              <w:t xml:space="preserve"> media tensión (cubículo de </w:t>
            </w:r>
            <w:proofErr w:type="spellStart"/>
            <w:r w:rsidRPr="00C10AA4">
              <w:rPr>
                <w:rFonts w:ascii="Calibri" w:hAnsi="Calibri" w:cs="Times New Roman"/>
                <w:color w:val="000000"/>
                <w:lang w:eastAsia="es-CL"/>
              </w:rPr>
              <w:t>desconectador</w:t>
            </w:r>
            <w:proofErr w:type="spellEnd"/>
            <w:r w:rsidRPr="00C10AA4">
              <w:rPr>
                <w:rFonts w:ascii="Calibri" w:hAnsi="Calibri" w:cs="Times New Roman"/>
                <w:color w:val="000000"/>
                <w:lang w:eastAsia="es-CL"/>
              </w:rPr>
              <w:t xml:space="preserve"> y barras/cables)</w:t>
            </w:r>
          </w:p>
        </w:tc>
      </w:tr>
    </w:tbl>
    <w:p w:rsidR="00533603" w:rsidRDefault="00533603" w:rsidP="00533603">
      <w:pPr>
        <w:spacing w:before="240"/>
      </w:pPr>
      <w:r>
        <w:t>Los trabajos</w:t>
      </w:r>
      <w:r>
        <w:t>, se deberán realizar durante la mantención mayor de la Fundición, las cual se programará aproximadamente en Octubre 2017.</w:t>
      </w:r>
    </w:p>
    <w:p w:rsidR="00E7786B" w:rsidRPr="00E7786B" w:rsidRDefault="00E7786B" w:rsidP="00050467">
      <w:pPr>
        <w:jc w:val="both"/>
        <w:rPr>
          <w:b/>
        </w:rPr>
      </w:pPr>
      <w:r w:rsidRPr="00E7786B">
        <w:rPr>
          <w:b/>
        </w:rPr>
        <w:t>3. PLAZO DE</w:t>
      </w:r>
      <w:r w:rsidR="00050467">
        <w:rPr>
          <w:b/>
        </w:rPr>
        <w:t xml:space="preserve"> </w:t>
      </w:r>
      <w:r w:rsidRPr="00E7786B">
        <w:rPr>
          <w:b/>
        </w:rPr>
        <w:t>EJECUCIÓN DEL SERVICIO</w:t>
      </w:r>
    </w:p>
    <w:p w:rsidR="00533603" w:rsidRDefault="00533603" w:rsidP="00E7786B">
      <w:r w:rsidRPr="00533603">
        <w:t xml:space="preserve">El Plazo total del contrato será de 30 días corridos a contar de la fecha establecida en el acta de inicio del contrato. </w:t>
      </w:r>
    </w:p>
    <w:p w:rsidR="00533603" w:rsidRDefault="00533603">
      <w:r>
        <w:br w:type="page"/>
      </w:r>
    </w:p>
    <w:p w:rsidR="00E7786B" w:rsidRPr="00E7786B" w:rsidRDefault="00E7786B" w:rsidP="00E7786B">
      <w:pPr>
        <w:rPr>
          <w:b/>
        </w:rPr>
      </w:pPr>
      <w:r w:rsidRPr="00E7786B">
        <w:rPr>
          <w:b/>
        </w:rPr>
        <w:lastRenderedPageBreak/>
        <w:t>4. ANTECEDENTES DE PRECALIFICACIÓN</w:t>
      </w:r>
    </w:p>
    <w:p w:rsidR="00E7786B" w:rsidRDefault="00E7786B" w:rsidP="00E7786B">
      <w:pPr>
        <w:jc w:val="both"/>
      </w:pPr>
      <w:r>
        <w:t>El presente Proceso considera una instancia de precalificación de los Proponentes. Será motivo de descalificación, si la empresa no cumple con las exigencias mínimas indicadas (ver Anexo “Bases de Precalificación”).</w:t>
      </w:r>
    </w:p>
    <w:p w:rsidR="00E7786B" w:rsidRDefault="00E7786B" w:rsidP="00E7786B">
      <w:pPr>
        <w:jc w:val="both"/>
      </w:pPr>
      <w:r>
        <w:t xml:space="preserve">Los antecedentes de precalificación deben ser presentados a través del Portal de Compras con fecha </w:t>
      </w:r>
      <w:r w:rsidR="00340D1E" w:rsidRPr="00340D1E">
        <w:rPr>
          <w:b/>
        </w:rPr>
        <w:t>02</w:t>
      </w:r>
      <w:r w:rsidRPr="00E7786B">
        <w:rPr>
          <w:b/>
        </w:rPr>
        <w:t xml:space="preserve"> de </w:t>
      </w:r>
      <w:r w:rsidR="00340D1E">
        <w:rPr>
          <w:b/>
        </w:rPr>
        <w:t>Agosto</w:t>
      </w:r>
      <w:r w:rsidRPr="00E7786B">
        <w:rPr>
          <w:b/>
        </w:rPr>
        <w:t xml:space="preserve"> de 2017, antes de las 18:00 horas</w:t>
      </w:r>
      <w:r>
        <w:t>.</w:t>
      </w:r>
    </w:p>
    <w:p w:rsidR="00E7786B" w:rsidRPr="00062C9E" w:rsidRDefault="00E7786B" w:rsidP="00E7786B">
      <w:pPr>
        <w:rPr>
          <w:b/>
        </w:rPr>
      </w:pPr>
      <w:r w:rsidRPr="00062C9E">
        <w:rPr>
          <w:b/>
        </w:rPr>
        <w:t>5. ENTREGA DE BASES</w:t>
      </w:r>
    </w:p>
    <w:p w:rsidR="00E7786B" w:rsidRDefault="00E7786B" w:rsidP="00062C9E">
      <w:pPr>
        <w:jc w:val="both"/>
      </w:pPr>
      <w:r>
        <w:t xml:space="preserve">Las bases técnicas, comerciales, administrativas e instrucciones a los oferentes de la licitación no tienen costo y estarán disponibles en el portal de compras de Codelco (https://portaldecompras.codelco.cl), desde </w:t>
      </w:r>
      <w:r w:rsidRPr="00062C9E">
        <w:t>el</w:t>
      </w:r>
      <w:r w:rsidRPr="00062C9E">
        <w:rPr>
          <w:b/>
        </w:rPr>
        <w:t xml:space="preserve"> </w:t>
      </w:r>
      <w:r w:rsidR="00062C9E" w:rsidRPr="00062C9E">
        <w:rPr>
          <w:b/>
        </w:rPr>
        <w:t>2</w:t>
      </w:r>
      <w:r w:rsidR="00340D1E">
        <w:rPr>
          <w:b/>
        </w:rPr>
        <w:t>8</w:t>
      </w:r>
      <w:r w:rsidRPr="00062C9E">
        <w:rPr>
          <w:b/>
        </w:rPr>
        <w:t xml:space="preserve"> de Julio de 2017 hasta el </w:t>
      </w:r>
      <w:r w:rsidR="00340D1E">
        <w:rPr>
          <w:b/>
        </w:rPr>
        <w:t>08</w:t>
      </w:r>
      <w:r w:rsidRPr="00062C9E">
        <w:rPr>
          <w:b/>
        </w:rPr>
        <w:t xml:space="preserve"> de</w:t>
      </w:r>
      <w:r w:rsidR="00340D1E">
        <w:rPr>
          <w:b/>
        </w:rPr>
        <w:t xml:space="preserve"> Agosto</w:t>
      </w:r>
      <w:r w:rsidRPr="00062C9E">
        <w:rPr>
          <w:b/>
        </w:rPr>
        <w:t xml:space="preserve"> de 2017</w:t>
      </w:r>
      <w:r>
        <w:t>, para todas las empresas invitadas a través del Portal de Compras.</w:t>
      </w:r>
    </w:p>
    <w:p w:rsidR="00E7786B" w:rsidRDefault="00E7786B" w:rsidP="00062C9E">
      <w:pPr>
        <w:jc w:val="both"/>
      </w:pPr>
      <w:r>
        <w:t>Posteriormente, se habilitará una nueva licitación en el portal de compras, con los documentos y formularios para presentar ofertas técnicas y económicas, a la cual sólo podrán acceder aquellas empresas que hayan calificado con éxito en la etapa de precalificación.</w:t>
      </w:r>
    </w:p>
    <w:p w:rsidR="00E7786B" w:rsidRPr="00062C9E" w:rsidRDefault="00E7786B" w:rsidP="00E7786B">
      <w:pPr>
        <w:rPr>
          <w:b/>
        </w:rPr>
      </w:pPr>
      <w:r w:rsidRPr="00062C9E">
        <w:rPr>
          <w:b/>
        </w:rPr>
        <w:t>6. PARTICIPACION</w:t>
      </w:r>
    </w:p>
    <w:p w:rsidR="00E7786B" w:rsidRDefault="00E7786B" w:rsidP="00062C9E">
      <w:pPr>
        <w:jc w:val="both"/>
      </w:pPr>
      <w:r>
        <w:t>Además, de las empresas que estén inscritas en el portal de compras y en el rubro considerado para invitar, participarán de este proceso aquellas empresas que no estando inscritas, soliciten su incorporación al gestor de la licitación, Sr. Óscar Vega Gutierrez, email ovega@codelco.cl, en los plazos definidos en itinerario.</w:t>
      </w:r>
    </w:p>
    <w:p w:rsidR="00E7786B" w:rsidRPr="00062C9E" w:rsidRDefault="00E7786B" w:rsidP="00062C9E">
      <w:pPr>
        <w:jc w:val="both"/>
        <w:rPr>
          <w:b/>
        </w:rPr>
      </w:pPr>
      <w:r w:rsidRPr="00062C9E">
        <w:rPr>
          <w:b/>
        </w:rPr>
        <w:t>Nota: En caso de existir consultas sobre la inscripción y claves de acceso al portal de compra los proveedores interesados deben dirigirse a:</w:t>
      </w:r>
    </w:p>
    <w:p w:rsidR="00E7786B" w:rsidRDefault="00E7786B" w:rsidP="00062C9E">
      <w:pPr>
        <w:pStyle w:val="Prrafodelista"/>
        <w:numPr>
          <w:ilvl w:val="0"/>
          <w:numId w:val="1"/>
        </w:numPr>
        <w:jc w:val="both"/>
      </w:pPr>
      <w:r>
        <w:t>Mesa de Ayuda, a través de portalcompras@codelco.cl o al teléfono (+56 2) 2818 5765 en horario de Lunes a Viernes de 08:00 a 19:00 horas.</w:t>
      </w:r>
    </w:p>
    <w:p w:rsidR="00E7786B" w:rsidRDefault="00E7786B" w:rsidP="00062C9E">
      <w:pPr>
        <w:jc w:val="both"/>
      </w:pPr>
      <w:r>
        <w:t xml:space="preserve">Este resumen ejecutivo de la licitación estará disponible en la página WEB </w:t>
      </w:r>
      <w:r w:rsidRPr="00062C9E">
        <w:rPr>
          <w:b/>
        </w:rPr>
        <w:t xml:space="preserve">desde el </w:t>
      </w:r>
      <w:r w:rsidR="00340D1E">
        <w:rPr>
          <w:b/>
        </w:rPr>
        <w:t xml:space="preserve">21 </w:t>
      </w:r>
      <w:r w:rsidR="00062C9E" w:rsidRPr="00062C9E">
        <w:rPr>
          <w:b/>
        </w:rPr>
        <w:t>de julio al 2</w:t>
      </w:r>
      <w:r w:rsidR="00340D1E">
        <w:rPr>
          <w:b/>
        </w:rPr>
        <w:t>7</w:t>
      </w:r>
      <w:r w:rsidRPr="00062C9E">
        <w:rPr>
          <w:b/>
        </w:rPr>
        <w:t xml:space="preserve"> de julio de 2017</w:t>
      </w:r>
      <w:r>
        <w:t>.</w:t>
      </w:r>
    </w:p>
    <w:p w:rsidR="00E7786B" w:rsidRDefault="00E7786B" w:rsidP="00062C9E">
      <w:pPr>
        <w:jc w:val="both"/>
      </w:pPr>
      <w:r>
        <w:t xml:space="preserve">Las empresas que no están inscritas en SRM y deseen participar de este proceso deben enviar al gestor de la licitación Sr. Oscar Vega Gutiérrez, email: ovega@codelco.cl fono 52-2472622, los siguientes antecedentes, a más tardar el </w:t>
      </w:r>
      <w:r w:rsidR="00340D1E">
        <w:t>26</w:t>
      </w:r>
      <w:r>
        <w:t xml:space="preserve"> de julio antes de las 15:00 horas. Posterior a esta fecha Codelco no garantiza poder efectuar la inscripción.</w:t>
      </w:r>
    </w:p>
    <w:tbl>
      <w:tblPr>
        <w:tblW w:w="8031" w:type="dxa"/>
        <w:tblInd w:w="-23" w:type="dxa"/>
        <w:tblCellMar>
          <w:left w:w="0" w:type="dxa"/>
          <w:right w:w="0" w:type="dxa"/>
        </w:tblCellMar>
        <w:tblLook w:val="04A0" w:firstRow="1" w:lastRow="0" w:firstColumn="1" w:lastColumn="0" w:noHBand="0" w:noVBand="1"/>
      </w:tblPr>
      <w:tblGrid>
        <w:gridCol w:w="3637"/>
        <w:gridCol w:w="1639"/>
        <w:gridCol w:w="185"/>
        <w:gridCol w:w="2570"/>
      </w:tblGrid>
      <w:tr w:rsidR="00062C9E" w:rsidRPr="008773FD" w:rsidTr="00E33D51">
        <w:trPr>
          <w:trHeight w:val="1590"/>
        </w:trPr>
        <w:tc>
          <w:tcPr>
            <w:tcW w:w="8031" w:type="dxa"/>
            <w:gridSpan w:val="4"/>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062C9E" w:rsidRPr="008773FD" w:rsidRDefault="00062C9E" w:rsidP="00E33D51">
            <w:pPr>
              <w:pStyle w:val="Default"/>
              <w:jc w:val="both"/>
              <w:rPr>
                <w:b/>
                <w:bCs/>
              </w:rPr>
            </w:pPr>
            <w:r w:rsidRPr="008773FD">
              <w:rPr>
                <w:b/>
                <w:bCs/>
              </w:rPr>
              <w:t>DATOS BASICOS PARA LA CREACION DE UN PROVEEDOR EN FORMA PROVISORIA POR 30 DIAS                     POSTERIOR A ESTO DEBERA FORMALIZAR SU INSCRIPCION EN REGIC O EN EL PORTAL DE COMPRAS SEGÚN CORRESPONDA</w:t>
            </w:r>
          </w:p>
        </w:tc>
      </w:tr>
      <w:tr w:rsidR="00062C9E" w:rsidRPr="008773FD" w:rsidTr="00E33D51">
        <w:trPr>
          <w:trHeight w:val="315"/>
        </w:trPr>
        <w:tc>
          <w:tcPr>
            <w:tcW w:w="5276" w:type="dxa"/>
            <w:gridSpan w:val="2"/>
            <w:noWrap/>
            <w:tcMar>
              <w:top w:w="0" w:type="dxa"/>
              <w:left w:w="70" w:type="dxa"/>
              <w:bottom w:w="0" w:type="dxa"/>
              <w:right w:w="70" w:type="dxa"/>
            </w:tcMar>
            <w:vAlign w:val="bottom"/>
            <w:hideMark/>
          </w:tcPr>
          <w:p w:rsidR="00062C9E" w:rsidRPr="008773FD" w:rsidRDefault="00062C9E" w:rsidP="00E33D51">
            <w:pPr>
              <w:pStyle w:val="Default"/>
              <w:jc w:val="both"/>
            </w:pPr>
          </w:p>
        </w:tc>
        <w:tc>
          <w:tcPr>
            <w:tcW w:w="185" w:type="dxa"/>
            <w:noWrap/>
            <w:tcMar>
              <w:top w:w="0" w:type="dxa"/>
              <w:left w:w="70" w:type="dxa"/>
              <w:bottom w:w="0" w:type="dxa"/>
              <w:right w:w="70" w:type="dxa"/>
            </w:tcMar>
            <w:vAlign w:val="bottom"/>
            <w:hideMark/>
          </w:tcPr>
          <w:p w:rsidR="00062C9E" w:rsidRPr="008773FD" w:rsidRDefault="00062C9E" w:rsidP="00E33D51">
            <w:pPr>
              <w:pStyle w:val="Default"/>
              <w:jc w:val="both"/>
            </w:pPr>
          </w:p>
        </w:tc>
        <w:tc>
          <w:tcPr>
            <w:tcW w:w="2570" w:type="dxa"/>
            <w:noWrap/>
            <w:tcMar>
              <w:top w:w="0" w:type="dxa"/>
              <w:left w:w="70" w:type="dxa"/>
              <w:bottom w:w="0" w:type="dxa"/>
              <w:right w:w="70" w:type="dxa"/>
            </w:tcMar>
            <w:vAlign w:val="bottom"/>
            <w:hideMark/>
          </w:tcPr>
          <w:p w:rsidR="00062C9E" w:rsidRPr="008773FD" w:rsidRDefault="00062C9E" w:rsidP="00E33D51">
            <w:pPr>
              <w:pStyle w:val="Default"/>
              <w:jc w:val="both"/>
            </w:pPr>
          </w:p>
        </w:tc>
      </w:tr>
      <w:tr w:rsidR="00062C9E" w:rsidRPr="008773FD" w:rsidTr="00E33D51">
        <w:trPr>
          <w:trHeight w:val="315"/>
        </w:trPr>
        <w:tc>
          <w:tcPr>
            <w:tcW w:w="8031" w:type="dxa"/>
            <w:gridSpan w:val="4"/>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rsidR="00062C9E" w:rsidRPr="00B50AA4" w:rsidRDefault="00062C9E" w:rsidP="00E33D51">
            <w:pPr>
              <w:pStyle w:val="Default"/>
              <w:jc w:val="center"/>
              <w:rPr>
                <w:rFonts w:asciiTheme="minorHAnsi" w:hAnsiTheme="minorHAnsi"/>
                <w:b/>
                <w:bCs/>
              </w:rPr>
            </w:pPr>
            <w:r w:rsidRPr="00B50AA4">
              <w:rPr>
                <w:rFonts w:asciiTheme="minorHAnsi" w:hAnsiTheme="minorHAnsi"/>
                <w:b/>
                <w:bCs/>
              </w:rPr>
              <w:t>DATOS OBLIGATORIOS</w:t>
            </w:r>
          </w:p>
        </w:tc>
      </w:tr>
      <w:tr w:rsidR="00062C9E" w:rsidRPr="008773FD" w:rsidTr="00E33D51">
        <w:trPr>
          <w:trHeight w:val="30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RUT</w:t>
            </w:r>
          </w:p>
        </w:tc>
        <w:tc>
          <w:tcPr>
            <w:tcW w:w="4394" w:type="dxa"/>
            <w:gridSpan w:val="3"/>
            <w:tcBorders>
              <w:top w:val="nil"/>
              <w:left w:val="nil"/>
              <w:bottom w:val="single" w:sz="8" w:space="0" w:color="auto"/>
              <w:right w:val="single" w:sz="8" w:space="0" w:color="000000"/>
            </w:tcBorders>
            <w:noWrap/>
            <w:tcMar>
              <w:top w:w="0" w:type="dxa"/>
              <w:left w:w="70" w:type="dxa"/>
              <w:bottom w:w="0" w:type="dxa"/>
              <w:right w:w="70" w:type="dxa"/>
            </w:tcMar>
            <w:vAlign w:val="bottom"/>
          </w:tcPr>
          <w:p w:rsidR="00062C9E" w:rsidRPr="00B50AA4" w:rsidRDefault="00062C9E" w:rsidP="00E33D51">
            <w:pPr>
              <w:pStyle w:val="Default"/>
              <w:jc w:val="both"/>
              <w:rPr>
                <w:rFonts w:asciiTheme="minorHAnsi" w:hAnsiTheme="minorHAnsi"/>
              </w:rPr>
            </w:pPr>
          </w:p>
        </w:tc>
      </w:tr>
      <w:tr w:rsidR="00062C9E" w:rsidRPr="008773FD" w:rsidTr="00E33D51">
        <w:trPr>
          <w:trHeight w:val="30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RAZON SOCIAL</w:t>
            </w:r>
          </w:p>
        </w:tc>
        <w:tc>
          <w:tcPr>
            <w:tcW w:w="4394" w:type="dxa"/>
            <w:gridSpan w:val="3"/>
            <w:tcBorders>
              <w:top w:val="nil"/>
              <w:left w:val="nil"/>
              <w:bottom w:val="single" w:sz="8" w:space="0" w:color="auto"/>
              <w:right w:val="single" w:sz="8" w:space="0" w:color="000000"/>
            </w:tcBorders>
            <w:noWrap/>
            <w:tcMar>
              <w:top w:w="0" w:type="dxa"/>
              <w:left w:w="70" w:type="dxa"/>
              <w:bottom w:w="0" w:type="dxa"/>
              <w:right w:w="70" w:type="dxa"/>
            </w:tcMar>
            <w:vAlign w:val="bottom"/>
          </w:tcPr>
          <w:p w:rsidR="00062C9E" w:rsidRPr="00B50AA4" w:rsidRDefault="00062C9E" w:rsidP="00E33D51">
            <w:pPr>
              <w:pStyle w:val="Default"/>
              <w:jc w:val="both"/>
              <w:rPr>
                <w:rFonts w:asciiTheme="minorHAnsi" w:hAnsiTheme="minorHAnsi"/>
              </w:rPr>
            </w:pPr>
          </w:p>
        </w:tc>
      </w:tr>
      <w:tr w:rsidR="00062C9E" w:rsidRPr="008773FD" w:rsidTr="00E33D51">
        <w:trPr>
          <w:trHeight w:val="30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DIRECCION</w:t>
            </w:r>
          </w:p>
        </w:tc>
        <w:tc>
          <w:tcPr>
            <w:tcW w:w="4394" w:type="dxa"/>
            <w:gridSpan w:val="3"/>
            <w:tcBorders>
              <w:top w:val="nil"/>
              <w:left w:val="nil"/>
              <w:bottom w:val="single" w:sz="8" w:space="0" w:color="auto"/>
              <w:right w:val="single" w:sz="8" w:space="0" w:color="000000"/>
            </w:tcBorders>
            <w:noWrap/>
            <w:tcMar>
              <w:top w:w="0" w:type="dxa"/>
              <w:left w:w="70" w:type="dxa"/>
              <w:bottom w:w="0" w:type="dxa"/>
              <w:right w:w="70" w:type="dxa"/>
            </w:tcMar>
            <w:vAlign w:val="bottom"/>
          </w:tcPr>
          <w:p w:rsidR="00062C9E" w:rsidRPr="00B50AA4" w:rsidRDefault="00062C9E" w:rsidP="00E33D51">
            <w:pPr>
              <w:pStyle w:val="Default"/>
              <w:jc w:val="both"/>
              <w:rPr>
                <w:rFonts w:asciiTheme="minorHAnsi" w:hAnsiTheme="minorHAnsi"/>
              </w:rPr>
            </w:pPr>
          </w:p>
        </w:tc>
      </w:tr>
      <w:tr w:rsidR="00062C9E" w:rsidRPr="008773FD" w:rsidTr="00E33D51">
        <w:trPr>
          <w:trHeight w:val="30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COMUNA</w:t>
            </w:r>
          </w:p>
        </w:tc>
        <w:tc>
          <w:tcPr>
            <w:tcW w:w="4394" w:type="dxa"/>
            <w:gridSpan w:val="3"/>
            <w:tcBorders>
              <w:top w:val="nil"/>
              <w:left w:val="nil"/>
              <w:bottom w:val="single" w:sz="8" w:space="0" w:color="auto"/>
              <w:right w:val="single" w:sz="8" w:space="0" w:color="000000"/>
            </w:tcBorders>
            <w:noWrap/>
            <w:tcMar>
              <w:top w:w="0" w:type="dxa"/>
              <w:left w:w="70" w:type="dxa"/>
              <w:bottom w:w="0" w:type="dxa"/>
              <w:right w:w="70" w:type="dxa"/>
            </w:tcMar>
            <w:vAlign w:val="bottom"/>
          </w:tcPr>
          <w:p w:rsidR="00062C9E" w:rsidRPr="00B50AA4" w:rsidRDefault="00062C9E" w:rsidP="00E33D51">
            <w:pPr>
              <w:pStyle w:val="Default"/>
              <w:jc w:val="both"/>
              <w:rPr>
                <w:rFonts w:asciiTheme="minorHAnsi" w:hAnsiTheme="minorHAnsi"/>
              </w:rPr>
            </w:pPr>
          </w:p>
        </w:tc>
      </w:tr>
      <w:tr w:rsidR="00062C9E" w:rsidRPr="008773FD" w:rsidTr="00E33D51">
        <w:trPr>
          <w:trHeight w:val="30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CIUDAD</w:t>
            </w:r>
          </w:p>
        </w:tc>
        <w:tc>
          <w:tcPr>
            <w:tcW w:w="4394" w:type="dxa"/>
            <w:gridSpan w:val="3"/>
            <w:tcBorders>
              <w:top w:val="nil"/>
              <w:left w:val="nil"/>
              <w:bottom w:val="single" w:sz="8" w:space="0" w:color="auto"/>
              <w:right w:val="single" w:sz="8" w:space="0" w:color="000000"/>
            </w:tcBorders>
            <w:noWrap/>
            <w:tcMar>
              <w:top w:w="0" w:type="dxa"/>
              <w:left w:w="70" w:type="dxa"/>
              <w:bottom w:w="0" w:type="dxa"/>
              <w:right w:w="70" w:type="dxa"/>
            </w:tcMar>
            <w:vAlign w:val="bottom"/>
          </w:tcPr>
          <w:p w:rsidR="00062C9E" w:rsidRPr="00B50AA4" w:rsidRDefault="00062C9E" w:rsidP="00E33D51">
            <w:pPr>
              <w:pStyle w:val="Default"/>
              <w:jc w:val="both"/>
              <w:rPr>
                <w:rFonts w:asciiTheme="minorHAnsi" w:hAnsiTheme="minorHAnsi"/>
              </w:rPr>
            </w:pPr>
          </w:p>
        </w:tc>
      </w:tr>
      <w:tr w:rsidR="00062C9E" w:rsidRPr="008773FD" w:rsidTr="00E33D51">
        <w:trPr>
          <w:trHeight w:val="30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FONO</w:t>
            </w:r>
          </w:p>
        </w:tc>
        <w:tc>
          <w:tcPr>
            <w:tcW w:w="4394" w:type="dxa"/>
            <w:gridSpan w:val="3"/>
            <w:tcBorders>
              <w:top w:val="nil"/>
              <w:left w:val="nil"/>
              <w:bottom w:val="single" w:sz="8" w:space="0" w:color="auto"/>
              <w:right w:val="single" w:sz="8" w:space="0" w:color="000000"/>
            </w:tcBorders>
            <w:noWrap/>
            <w:tcMar>
              <w:top w:w="0" w:type="dxa"/>
              <w:left w:w="70" w:type="dxa"/>
              <w:bottom w:w="0" w:type="dxa"/>
              <w:right w:w="70" w:type="dxa"/>
            </w:tcMar>
            <w:vAlign w:val="bottom"/>
          </w:tcPr>
          <w:p w:rsidR="00062C9E" w:rsidRPr="00B50AA4" w:rsidRDefault="00062C9E" w:rsidP="00E33D51">
            <w:pPr>
              <w:pStyle w:val="Default"/>
              <w:jc w:val="both"/>
              <w:rPr>
                <w:rFonts w:asciiTheme="minorHAnsi" w:hAnsiTheme="minorHAnsi"/>
              </w:rPr>
            </w:pPr>
          </w:p>
        </w:tc>
      </w:tr>
      <w:tr w:rsidR="00062C9E" w:rsidRPr="008773FD" w:rsidTr="00E33D51">
        <w:trPr>
          <w:trHeight w:val="30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EMAIL</w:t>
            </w:r>
          </w:p>
        </w:tc>
        <w:tc>
          <w:tcPr>
            <w:tcW w:w="4394" w:type="dxa"/>
            <w:gridSpan w:val="3"/>
            <w:tcBorders>
              <w:top w:val="nil"/>
              <w:left w:val="nil"/>
              <w:bottom w:val="single" w:sz="8" w:space="0" w:color="auto"/>
              <w:right w:val="single" w:sz="8" w:space="0" w:color="000000"/>
            </w:tcBorders>
            <w:noWrap/>
            <w:tcMar>
              <w:top w:w="0" w:type="dxa"/>
              <w:left w:w="70" w:type="dxa"/>
              <w:bottom w:w="0" w:type="dxa"/>
              <w:right w:w="70" w:type="dxa"/>
            </w:tcMar>
            <w:vAlign w:val="bottom"/>
          </w:tcPr>
          <w:p w:rsidR="00062C9E" w:rsidRPr="00B50AA4" w:rsidRDefault="00062C9E" w:rsidP="00E33D51">
            <w:pPr>
              <w:pStyle w:val="Default"/>
              <w:jc w:val="both"/>
              <w:rPr>
                <w:rFonts w:asciiTheme="minorHAnsi" w:hAnsiTheme="minorHAnsi"/>
              </w:rPr>
            </w:pPr>
          </w:p>
        </w:tc>
      </w:tr>
      <w:tr w:rsidR="00062C9E" w:rsidRPr="008773FD" w:rsidTr="00E33D51">
        <w:trPr>
          <w:trHeight w:val="30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CONTACTO</w:t>
            </w:r>
          </w:p>
        </w:tc>
        <w:tc>
          <w:tcPr>
            <w:tcW w:w="4394" w:type="dxa"/>
            <w:gridSpan w:val="3"/>
            <w:tcBorders>
              <w:top w:val="nil"/>
              <w:left w:val="nil"/>
              <w:bottom w:val="single" w:sz="8" w:space="0" w:color="auto"/>
              <w:right w:val="single" w:sz="8" w:space="0" w:color="000000"/>
            </w:tcBorders>
            <w:noWrap/>
            <w:tcMar>
              <w:top w:w="0" w:type="dxa"/>
              <w:left w:w="70" w:type="dxa"/>
              <w:bottom w:w="0" w:type="dxa"/>
              <w:right w:w="70" w:type="dxa"/>
            </w:tcMar>
            <w:vAlign w:val="bottom"/>
          </w:tcPr>
          <w:p w:rsidR="00062C9E" w:rsidRPr="00B50AA4" w:rsidRDefault="00062C9E" w:rsidP="00E33D51">
            <w:pPr>
              <w:pStyle w:val="Default"/>
              <w:jc w:val="both"/>
              <w:rPr>
                <w:rFonts w:asciiTheme="minorHAnsi" w:hAnsiTheme="minorHAnsi"/>
              </w:rPr>
            </w:pPr>
          </w:p>
        </w:tc>
      </w:tr>
      <w:tr w:rsidR="00062C9E" w:rsidRPr="008773FD" w:rsidTr="00E33D51">
        <w:trPr>
          <w:trHeight w:val="300"/>
        </w:trPr>
        <w:tc>
          <w:tcPr>
            <w:tcW w:w="3637"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IVA</w:t>
            </w:r>
          </w:p>
        </w:tc>
        <w:tc>
          <w:tcPr>
            <w:tcW w:w="1824" w:type="dxa"/>
            <w:gridSpan w:val="2"/>
            <w:noWrap/>
            <w:tcMar>
              <w:top w:w="0" w:type="dxa"/>
              <w:left w:w="70" w:type="dxa"/>
              <w:bottom w:w="0" w:type="dxa"/>
              <w:right w:w="70" w:type="dxa"/>
            </w:tcMar>
            <w:vAlign w:val="bottom"/>
          </w:tcPr>
          <w:p w:rsidR="00062C9E" w:rsidRPr="00B50AA4" w:rsidRDefault="00062C9E" w:rsidP="00E33D51">
            <w:pPr>
              <w:pStyle w:val="Default"/>
              <w:jc w:val="both"/>
              <w:rPr>
                <w:rFonts w:asciiTheme="minorHAnsi" w:hAnsiTheme="minorHAnsi"/>
              </w:rPr>
            </w:pPr>
            <w:r>
              <w:rPr>
                <w:rFonts w:asciiTheme="minorHAnsi" w:hAnsiTheme="minorHAnsi"/>
              </w:rPr>
              <w:t xml:space="preserve">Indicar Si </w:t>
            </w:r>
            <w:proofErr w:type="spellStart"/>
            <w:r>
              <w:rPr>
                <w:rFonts w:asciiTheme="minorHAnsi" w:hAnsiTheme="minorHAnsi"/>
              </w:rPr>
              <w:t>ó</w:t>
            </w:r>
            <w:proofErr w:type="spellEnd"/>
            <w:r>
              <w:rPr>
                <w:rFonts w:asciiTheme="minorHAnsi" w:hAnsiTheme="minorHAnsi"/>
              </w:rPr>
              <w:t xml:space="preserve"> No</w:t>
            </w:r>
          </w:p>
        </w:tc>
        <w:tc>
          <w:tcPr>
            <w:tcW w:w="2570" w:type="dxa"/>
            <w:tcBorders>
              <w:top w:val="nil"/>
              <w:left w:val="nil"/>
              <w:bottom w:val="nil"/>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rPr>
            </w:pPr>
            <w:r w:rsidRPr="00B50AA4">
              <w:rPr>
                <w:rFonts w:asciiTheme="minorHAnsi" w:hAnsiTheme="minorHAnsi"/>
              </w:rPr>
              <w:t> </w:t>
            </w:r>
          </w:p>
        </w:tc>
      </w:tr>
      <w:tr w:rsidR="00062C9E" w:rsidRPr="008773FD" w:rsidTr="00E33D51">
        <w:trPr>
          <w:trHeight w:val="300"/>
        </w:trPr>
        <w:tc>
          <w:tcPr>
            <w:tcW w:w="3637"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RETENCION 10%</w:t>
            </w:r>
          </w:p>
        </w:tc>
        <w:tc>
          <w:tcPr>
            <w:tcW w:w="1824" w:type="dxa"/>
            <w:gridSpan w:val="2"/>
            <w:tcBorders>
              <w:top w:val="single" w:sz="8" w:space="0" w:color="auto"/>
              <w:left w:val="nil"/>
              <w:bottom w:val="nil"/>
              <w:right w:val="nil"/>
            </w:tcBorders>
            <w:noWrap/>
            <w:tcMar>
              <w:top w:w="0" w:type="dxa"/>
              <w:left w:w="70" w:type="dxa"/>
              <w:bottom w:w="0" w:type="dxa"/>
              <w:right w:w="70" w:type="dxa"/>
            </w:tcMar>
            <w:vAlign w:val="bottom"/>
          </w:tcPr>
          <w:p w:rsidR="00062C9E" w:rsidRPr="00B50AA4" w:rsidRDefault="00062C9E" w:rsidP="00E33D51">
            <w:pPr>
              <w:pStyle w:val="Default"/>
              <w:jc w:val="both"/>
              <w:rPr>
                <w:rFonts w:asciiTheme="minorHAnsi" w:hAnsiTheme="minorHAnsi"/>
              </w:rPr>
            </w:pPr>
            <w:r>
              <w:rPr>
                <w:rFonts w:asciiTheme="minorHAnsi" w:hAnsiTheme="minorHAnsi"/>
              </w:rPr>
              <w:t xml:space="preserve">Indicar Si </w:t>
            </w:r>
            <w:proofErr w:type="spellStart"/>
            <w:r>
              <w:rPr>
                <w:rFonts w:asciiTheme="minorHAnsi" w:hAnsiTheme="minorHAnsi"/>
              </w:rPr>
              <w:t>ó</w:t>
            </w:r>
            <w:proofErr w:type="spellEnd"/>
            <w:r>
              <w:rPr>
                <w:rFonts w:asciiTheme="minorHAnsi" w:hAnsiTheme="minorHAnsi"/>
              </w:rPr>
              <w:t xml:space="preserve"> No</w:t>
            </w:r>
          </w:p>
        </w:tc>
        <w:tc>
          <w:tcPr>
            <w:tcW w:w="2570" w:type="dxa"/>
            <w:tcBorders>
              <w:top w:val="single" w:sz="8" w:space="0" w:color="auto"/>
              <w:left w:val="nil"/>
              <w:bottom w:val="nil"/>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rPr>
            </w:pPr>
            <w:r w:rsidRPr="00B50AA4">
              <w:rPr>
                <w:rFonts w:asciiTheme="minorHAnsi" w:hAnsiTheme="minorHAnsi"/>
              </w:rPr>
              <w:t> </w:t>
            </w:r>
          </w:p>
        </w:tc>
      </w:tr>
      <w:tr w:rsidR="00062C9E" w:rsidRPr="008773FD" w:rsidTr="00E33D51">
        <w:trPr>
          <w:trHeight w:val="315"/>
        </w:trPr>
        <w:tc>
          <w:tcPr>
            <w:tcW w:w="363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ORGANIZACIÓN DE COMPRAS</w:t>
            </w:r>
          </w:p>
        </w:tc>
        <w:tc>
          <w:tcPr>
            <w:tcW w:w="4394" w:type="dxa"/>
            <w:gridSpan w:val="3"/>
            <w:tcBorders>
              <w:top w:val="single" w:sz="8" w:space="0" w:color="auto"/>
              <w:left w:val="nil"/>
              <w:bottom w:val="single" w:sz="8" w:space="0" w:color="auto"/>
              <w:right w:val="single" w:sz="8" w:space="0" w:color="000000"/>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rPr>
            </w:pPr>
            <w:r>
              <w:rPr>
                <w:rFonts w:asciiTheme="minorHAnsi" w:hAnsiTheme="minorHAnsi"/>
              </w:rPr>
              <w:t>P002</w:t>
            </w:r>
          </w:p>
        </w:tc>
      </w:tr>
      <w:tr w:rsidR="00062C9E" w:rsidRPr="008773FD" w:rsidTr="00E33D51">
        <w:trPr>
          <w:trHeight w:val="315"/>
        </w:trPr>
        <w:tc>
          <w:tcPr>
            <w:tcW w:w="3637" w:type="dxa"/>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 </w:t>
            </w:r>
          </w:p>
        </w:tc>
        <w:tc>
          <w:tcPr>
            <w:tcW w:w="1824" w:type="dxa"/>
            <w:gridSpan w:val="2"/>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rPr>
            </w:pPr>
            <w:r w:rsidRPr="00B50AA4">
              <w:rPr>
                <w:rFonts w:asciiTheme="minorHAnsi" w:hAnsiTheme="minorHAnsi"/>
              </w:rPr>
              <w:t> </w:t>
            </w:r>
          </w:p>
        </w:tc>
        <w:tc>
          <w:tcPr>
            <w:tcW w:w="2570" w:type="dxa"/>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rPr>
            </w:pPr>
            <w:r w:rsidRPr="00B50AA4">
              <w:rPr>
                <w:rFonts w:asciiTheme="minorHAnsi" w:hAnsiTheme="minorHAnsi"/>
              </w:rPr>
              <w:t> </w:t>
            </w:r>
          </w:p>
        </w:tc>
      </w:tr>
      <w:tr w:rsidR="00062C9E" w:rsidRPr="008773FD" w:rsidTr="00E33D51">
        <w:trPr>
          <w:trHeight w:val="315"/>
        </w:trPr>
        <w:tc>
          <w:tcPr>
            <w:tcW w:w="8031" w:type="dxa"/>
            <w:gridSpan w:val="4"/>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bottom"/>
            <w:hideMark/>
          </w:tcPr>
          <w:p w:rsidR="00062C9E" w:rsidRPr="00B50AA4" w:rsidRDefault="00062C9E" w:rsidP="00E33D51">
            <w:pPr>
              <w:pStyle w:val="Default"/>
              <w:jc w:val="center"/>
              <w:rPr>
                <w:rFonts w:asciiTheme="minorHAnsi" w:hAnsiTheme="minorHAnsi"/>
                <w:b/>
                <w:bCs/>
              </w:rPr>
            </w:pPr>
            <w:r w:rsidRPr="00B50AA4">
              <w:rPr>
                <w:rFonts w:asciiTheme="minorHAnsi" w:hAnsiTheme="minorHAnsi"/>
                <w:b/>
                <w:bCs/>
              </w:rPr>
              <w:t>DATOS OPCIONALES</w:t>
            </w:r>
          </w:p>
        </w:tc>
      </w:tr>
      <w:tr w:rsidR="00062C9E" w:rsidRPr="008773FD" w:rsidTr="00E33D51">
        <w:trPr>
          <w:trHeight w:val="300"/>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BANCO</w:t>
            </w:r>
          </w:p>
        </w:tc>
        <w:tc>
          <w:tcPr>
            <w:tcW w:w="4394" w:type="dxa"/>
            <w:gridSpan w:val="3"/>
            <w:tcBorders>
              <w:top w:val="nil"/>
              <w:left w:val="nil"/>
              <w:bottom w:val="single" w:sz="8" w:space="0" w:color="auto"/>
              <w:right w:val="single" w:sz="8" w:space="0" w:color="000000"/>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rPr>
            </w:pPr>
            <w:r w:rsidRPr="00B50AA4">
              <w:rPr>
                <w:rFonts w:asciiTheme="minorHAnsi" w:hAnsiTheme="minorHAnsi"/>
              </w:rPr>
              <w:t> </w:t>
            </w:r>
          </w:p>
        </w:tc>
      </w:tr>
      <w:tr w:rsidR="00062C9E" w:rsidRPr="008773FD" w:rsidTr="00E33D51">
        <w:trPr>
          <w:trHeight w:val="315"/>
        </w:trPr>
        <w:tc>
          <w:tcPr>
            <w:tcW w:w="363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b/>
                <w:bCs/>
              </w:rPr>
            </w:pPr>
            <w:r w:rsidRPr="00B50AA4">
              <w:rPr>
                <w:rFonts w:asciiTheme="minorHAnsi" w:hAnsiTheme="minorHAnsi"/>
                <w:b/>
                <w:bCs/>
              </w:rPr>
              <w:t>CUENTA CORRIENTE</w:t>
            </w:r>
          </w:p>
        </w:tc>
        <w:tc>
          <w:tcPr>
            <w:tcW w:w="4394" w:type="dxa"/>
            <w:gridSpan w:val="3"/>
            <w:tcBorders>
              <w:top w:val="nil"/>
              <w:left w:val="nil"/>
              <w:bottom w:val="single" w:sz="8" w:space="0" w:color="auto"/>
              <w:right w:val="single" w:sz="8" w:space="0" w:color="000000"/>
            </w:tcBorders>
            <w:noWrap/>
            <w:tcMar>
              <w:top w:w="0" w:type="dxa"/>
              <w:left w:w="70" w:type="dxa"/>
              <w:bottom w:w="0" w:type="dxa"/>
              <w:right w:w="70" w:type="dxa"/>
            </w:tcMar>
            <w:vAlign w:val="bottom"/>
            <w:hideMark/>
          </w:tcPr>
          <w:p w:rsidR="00062C9E" w:rsidRPr="00B50AA4" w:rsidRDefault="00062C9E" w:rsidP="00E33D51">
            <w:pPr>
              <w:pStyle w:val="Default"/>
              <w:jc w:val="both"/>
              <w:rPr>
                <w:rFonts w:asciiTheme="minorHAnsi" w:hAnsiTheme="minorHAnsi"/>
              </w:rPr>
            </w:pPr>
            <w:r w:rsidRPr="00B50AA4">
              <w:rPr>
                <w:rFonts w:asciiTheme="minorHAnsi" w:hAnsiTheme="minorHAnsi"/>
              </w:rPr>
              <w:t> </w:t>
            </w:r>
          </w:p>
        </w:tc>
      </w:tr>
      <w:tr w:rsidR="00062C9E" w:rsidRPr="008773FD" w:rsidTr="00E33D51">
        <w:trPr>
          <w:trHeight w:val="450"/>
        </w:trPr>
        <w:tc>
          <w:tcPr>
            <w:tcW w:w="8031" w:type="dxa"/>
            <w:gridSpan w:val="4"/>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062C9E" w:rsidRPr="00B50AA4" w:rsidRDefault="00062C9E" w:rsidP="00E33D51">
            <w:pPr>
              <w:pStyle w:val="Default"/>
              <w:jc w:val="both"/>
              <w:rPr>
                <w:rFonts w:asciiTheme="minorHAnsi" w:hAnsiTheme="minorHAnsi"/>
              </w:rPr>
            </w:pPr>
            <w:r w:rsidRPr="00B50AA4">
              <w:rPr>
                <w:rFonts w:asciiTheme="minorHAnsi" w:hAnsiTheme="minorHAnsi"/>
              </w:rPr>
              <w:t>ESTA CUENTA DEBE ESTAR SOLO A NOMBRE DE LA EMPRESA, SINO EL PAGO ES RECHAZADO</w:t>
            </w:r>
          </w:p>
        </w:tc>
      </w:tr>
    </w:tbl>
    <w:p w:rsidR="00062C9E" w:rsidRDefault="00062C9E" w:rsidP="00E7786B"/>
    <w:p w:rsidR="00E7786B" w:rsidRDefault="00E7786B" w:rsidP="00E7786B">
      <w:r>
        <w:t>Nota: En caso de existir consultas sobre la inscripción y claves de acceso al portal de compra los proveedores interesados deben dirigirse a:</w:t>
      </w:r>
    </w:p>
    <w:p w:rsidR="00E7786B" w:rsidRDefault="00E7786B" w:rsidP="00E7786B">
      <w:r>
        <w:t>Mesa de Ayuda, a través de portalcompras@codelco.cl o al teléfono (+56 2) 28185765 en horario de Lunes a Viernes de 08:00 a 19:00 horas.</w:t>
      </w:r>
    </w:p>
    <w:p w:rsidR="00E7786B" w:rsidRPr="00062C9E" w:rsidRDefault="00E7786B" w:rsidP="00E7786B">
      <w:pPr>
        <w:rPr>
          <w:b/>
        </w:rPr>
      </w:pPr>
      <w:r w:rsidRPr="00062C9E">
        <w:rPr>
          <w:b/>
        </w:rPr>
        <w:t>7. CALENDARIO DEL PROCESO DE LICITACION</w:t>
      </w:r>
    </w:p>
    <w:tbl>
      <w:tblPr>
        <w:tblStyle w:val="Tablaconcuadrcula"/>
        <w:tblW w:w="0" w:type="auto"/>
        <w:tblLook w:val="04A0" w:firstRow="1" w:lastRow="0" w:firstColumn="1" w:lastColumn="0" w:noHBand="0" w:noVBand="1"/>
      </w:tblPr>
      <w:tblGrid>
        <w:gridCol w:w="4489"/>
        <w:gridCol w:w="4489"/>
      </w:tblGrid>
      <w:tr w:rsidR="00062C9E" w:rsidTr="00E33D51">
        <w:tc>
          <w:tcPr>
            <w:tcW w:w="4489" w:type="dxa"/>
            <w:tcBorders>
              <w:top w:val="single" w:sz="4" w:space="0" w:color="000000"/>
              <w:left w:val="single" w:sz="4" w:space="0" w:color="000000"/>
              <w:bottom w:val="single" w:sz="4" w:space="0" w:color="000000"/>
              <w:right w:val="single" w:sz="4" w:space="0" w:color="000000"/>
            </w:tcBorders>
            <w:hideMark/>
          </w:tcPr>
          <w:p w:rsidR="00062C9E" w:rsidRDefault="00062C9E" w:rsidP="00E33D51">
            <w:pPr>
              <w:pStyle w:val="Default"/>
              <w:jc w:val="center"/>
              <w:rPr>
                <w:b/>
              </w:rPr>
            </w:pPr>
            <w:r>
              <w:rPr>
                <w:b/>
              </w:rPr>
              <w:t>Hito</w:t>
            </w:r>
          </w:p>
        </w:tc>
        <w:tc>
          <w:tcPr>
            <w:tcW w:w="4489" w:type="dxa"/>
            <w:tcBorders>
              <w:top w:val="single" w:sz="4" w:space="0" w:color="000000"/>
              <w:left w:val="single" w:sz="4" w:space="0" w:color="000000"/>
              <w:bottom w:val="single" w:sz="4" w:space="0" w:color="000000"/>
              <w:right w:val="single" w:sz="4" w:space="0" w:color="000000"/>
            </w:tcBorders>
            <w:hideMark/>
          </w:tcPr>
          <w:p w:rsidR="00062C9E" w:rsidRDefault="00062C9E" w:rsidP="00E33D51">
            <w:pPr>
              <w:pStyle w:val="Default"/>
              <w:jc w:val="center"/>
              <w:rPr>
                <w:b/>
              </w:rPr>
            </w:pPr>
            <w:r>
              <w:rPr>
                <w:b/>
              </w:rPr>
              <w:t>Fecha</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Inicio publicación página WEB</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40D1E" w:rsidP="00062C9E">
            <w:pPr>
              <w:pStyle w:val="Default"/>
              <w:rPr>
                <w:sz w:val="20"/>
                <w:szCs w:val="20"/>
              </w:rPr>
            </w:pPr>
            <w:r>
              <w:rPr>
                <w:sz w:val="20"/>
                <w:szCs w:val="20"/>
              </w:rPr>
              <w:t>21</w:t>
            </w:r>
            <w:r w:rsidR="00062C9E">
              <w:rPr>
                <w:sz w:val="20"/>
                <w:szCs w:val="20"/>
              </w:rPr>
              <w:t xml:space="preserve"> de julio 2017</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 xml:space="preserve">Inscripción de oferentes  </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340D1E">
            <w:pPr>
              <w:pStyle w:val="Default"/>
              <w:rPr>
                <w:sz w:val="20"/>
                <w:szCs w:val="20"/>
              </w:rPr>
            </w:pPr>
            <w:r>
              <w:rPr>
                <w:sz w:val="20"/>
                <w:szCs w:val="20"/>
              </w:rPr>
              <w:t>2</w:t>
            </w:r>
            <w:r w:rsidR="00340D1E">
              <w:rPr>
                <w:sz w:val="20"/>
                <w:szCs w:val="20"/>
              </w:rPr>
              <w:t>6</w:t>
            </w:r>
            <w:r>
              <w:rPr>
                <w:sz w:val="20"/>
                <w:szCs w:val="20"/>
              </w:rPr>
              <w:t xml:space="preserve"> de julio de 2017</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Término publicación</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340D1E">
            <w:pPr>
              <w:pStyle w:val="Default"/>
              <w:rPr>
                <w:sz w:val="20"/>
                <w:szCs w:val="20"/>
              </w:rPr>
            </w:pPr>
            <w:r>
              <w:rPr>
                <w:sz w:val="20"/>
                <w:szCs w:val="20"/>
              </w:rPr>
              <w:t>2</w:t>
            </w:r>
            <w:r w:rsidR="00340D1E">
              <w:rPr>
                <w:sz w:val="20"/>
                <w:szCs w:val="20"/>
              </w:rPr>
              <w:t>7</w:t>
            </w:r>
            <w:r>
              <w:rPr>
                <w:sz w:val="20"/>
                <w:szCs w:val="20"/>
              </w:rPr>
              <w:t xml:space="preserve"> de julio de 2017</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Invitación pública y entrega de Bases de Licitación</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A5A0C" w:rsidP="00340D1E">
            <w:pPr>
              <w:pStyle w:val="Default"/>
              <w:rPr>
                <w:sz w:val="20"/>
                <w:szCs w:val="20"/>
              </w:rPr>
            </w:pPr>
            <w:r>
              <w:rPr>
                <w:sz w:val="20"/>
                <w:szCs w:val="20"/>
              </w:rPr>
              <w:t>2</w:t>
            </w:r>
            <w:r w:rsidR="00340D1E">
              <w:rPr>
                <w:sz w:val="20"/>
                <w:szCs w:val="20"/>
              </w:rPr>
              <w:t>8</w:t>
            </w:r>
            <w:r w:rsidR="00062C9E">
              <w:rPr>
                <w:sz w:val="20"/>
                <w:szCs w:val="20"/>
              </w:rPr>
              <w:t xml:space="preserve"> de julio de 2017 vía Portal de Compras</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Recepción Antecedentes Precalificación</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40D1E" w:rsidP="00340D1E">
            <w:pPr>
              <w:pStyle w:val="Default"/>
              <w:rPr>
                <w:sz w:val="20"/>
                <w:szCs w:val="20"/>
              </w:rPr>
            </w:pPr>
            <w:r>
              <w:rPr>
                <w:sz w:val="20"/>
                <w:szCs w:val="20"/>
              </w:rPr>
              <w:t>02</w:t>
            </w:r>
            <w:r w:rsidR="00062C9E">
              <w:rPr>
                <w:sz w:val="20"/>
                <w:szCs w:val="20"/>
              </w:rPr>
              <w:t xml:space="preserve"> de </w:t>
            </w:r>
            <w:r>
              <w:rPr>
                <w:sz w:val="20"/>
                <w:szCs w:val="20"/>
              </w:rPr>
              <w:t>agosto</w:t>
            </w:r>
            <w:r w:rsidR="00062C9E">
              <w:rPr>
                <w:sz w:val="20"/>
                <w:szCs w:val="20"/>
              </w:rPr>
              <w:t xml:space="preserve"> de 2017 vía Portal de Compras</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Entrega Resultados de Precalificación</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40D1E" w:rsidP="00340D1E">
            <w:pPr>
              <w:pStyle w:val="Default"/>
              <w:rPr>
                <w:sz w:val="20"/>
                <w:szCs w:val="20"/>
              </w:rPr>
            </w:pPr>
            <w:r>
              <w:rPr>
                <w:sz w:val="20"/>
                <w:szCs w:val="20"/>
              </w:rPr>
              <w:t>08</w:t>
            </w:r>
            <w:r w:rsidR="00062C9E">
              <w:rPr>
                <w:sz w:val="20"/>
                <w:szCs w:val="20"/>
              </w:rPr>
              <w:t xml:space="preserve"> de </w:t>
            </w:r>
            <w:r>
              <w:rPr>
                <w:sz w:val="20"/>
                <w:szCs w:val="20"/>
              </w:rPr>
              <w:t>agosto</w:t>
            </w:r>
            <w:r w:rsidR="00062C9E">
              <w:rPr>
                <w:sz w:val="20"/>
                <w:szCs w:val="20"/>
              </w:rPr>
              <w:t xml:space="preserve"> de 2017 vía correo electrónico</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Entrega de antecedentes para presentar ofertas</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A5A0C" w:rsidP="00340D1E">
            <w:pPr>
              <w:pStyle w:val="Default"/>
              <w:rPr>
                <w:sz w:val="20"/>
                <w:szCs w:val="20"/>
              </w:rPr>
            </w:pPr>
            <w:r>
              <w:rPr>
                <w:sz w:val="20"/>
                <w:szCs w:val="20"/>
              </w:rPr>
              <w:t>3</w:t>
            </w:r>
            <w:r w:rsidR="00340D1E">
              <w:rPr>
                <w:sz w:val="20"/>
                <w:szCs w:val="20"/>
              </w:rPr>
              <w:t>8</w:t>
            </w:r>
            <w:r w:rsidR="00062C9E">
              <w:rPr>
                <w:sz w:val="20"/>
                <w:szCs w:val="20"/>
              </w:rPr>
              <w:t xml:space="preserve"> de </w:t>
            </w:r>
            <w:r w:rsidR="00340D1E">
              <w:rPr>
                <w:sz w:val="20"/>
                <w:szCs w:val="20"/>
              </w:rPr>
              <w:t>agosto</w:t>
            </w:r>
            <w:r w:rsidR="00062C9E">
              <w:rPr>
                <w:sz w:val="20"/>
                <w:szCs w:val="20"/>
              </w:rPr>
              <w:t xml:space="preserve"> de 2017 vía Portal de Compras</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Visita a Terreno</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40D1E" w:rsidP="00340D1E">
            <w:pPr>
              <w:pStyle w:val="Default"/>
              <w:rPr>
                <w:sz w:val="20"/>
                <w:szCs w:val="20"/>
              </w:rPr>
            </w:pPr>
            <w:r>
              <w:rPr>
                <w:sz w:val="20"/>
                <w:szCs w:val="20"/>
              </w:rPr>
              <w:t>14</w:t>
            </w:r>
            <w:r w:rsidR="00062C9E">
              <w:rPr>
                <w:sz w:val="20"/>
                <w:szCs w:val="20"/>
              </w:rPr>
              <w:t xml:space="preserve"> de </w:t>
            </w:r>
            <w:r w:rsidR="003A5A0C">
              <w:rPr>
                <w:sz w:val="20"/>
                <w:szCs w:val="20"/>
              </w:rPr>
              <w:t>agosto</w:t>
            </w:r>
            <w:r w:rsidR="00062C9E">
              <w:rPr>
                <w:sz w:val="20"/>
                <w:szCs w:val="20"/>
              </w:rPr>
              <w:t xml:space="preserve"> de 2017</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 xml:space="preserve">Recepción de consultas </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40D1E" w:rsidP="00340D1E">
            <w:pPr>
              <w:pStyle w:val="Default"/>
              <w:rPr>
                <w:sz w:val="20"/>
                <w:szCs w:val="20"/>
              </w:rPr>
            </w:pPr>
            <w:r>
              <w:rPr>
                <w:sz w:val="20"/>
                <w:szCs w:val="20"/>
              </w:rPr>
              <w:t>1</w:t>
            </w:r>
            <w:r w:rsidR="003A5A0C">
              <w:rPr>
                <w:sz w:val="20"/>
                <w:szCs w:val="20"/>
              </w:rPr>
              <w:t>7</w:t>
            </w:r>
            <w:r w:rsidR="00062C9E">
              <w:rPr>
                <w:sz w:val="20"/>
                <w:szCs w:val="20"/>
              </w:rPr>
              <w:t xml:space="preserve"> de agosto de 2017 vía Portal de Compras</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Entrega de respuestas</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40D1E" w:rsidP="00340D1E">
            <w:pPr>
              <w:pStyle w:val="Default"/>
              <w:rPr>
                <w:sz w:val="20"/>
                <w:szCs w:val="20"/>
              </w:rPr>
            </w:pPr>
            <w:r>
              <w:rPr>
                <w:sz w:val="20"/>
                <w:szCs w:val="20"/>
              </w:rPr>
              <w:t>18</w:t>
            </w:r>
            <w:r w:rsidR="00062C9E">
              <w:rPr>
                <w:sz w:val="20"/>
                <w:szCs w:val="20"/>
              </w:rPr>
              <w:t xml:space="preserve"> de agosto de 2017 vía Portal de Compras</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Recepción de Ofertas y Antecedentes Generales</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40D1E" w:rsidP="00340D1E">
            <w:pPr>
              <w:pStyle w:val="Default"/>
              <w:rPr>
                <w:sz w:val="20"/>
                <w:szCs w:val="20"/>
              </w:rPr>
            </w:pPr>
            <w:r>
              <w:rPr>
                <w:sz w:val="20"/>
                <w:szCs w:val="20"/>
              </w:rPr>
              <w:t>01</w:t>
            </w:r>
            <w:r w:rsidR="00062C9E">
              <w:rPr>
                <w:sz w:val="20"/>
                <w:szCs w:val="20"/>
              </w:rPr>
              <w:t xml:space="preserve"> de </w:t>
            </w:r>
            <w:r>
              <w:rPr>
                <w:sz w:val="20"/>
                <w:szCs w:val="20"/>
              </w:rPr>
              <w:t>septiembre</w:t>
            </w:r>
            <w:r w:rsidR="00062C9E">
              <w:rPr>
                <w:sz w:val="20"/>
                <w:szCs w:val="20"/>
              </w:rPr>
              <w:t xml:space="preserve"> de 2017 vía Portal de Compras  </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Solicitud de aclaraciones  a las ofertas</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40D1E" w:rsidP="00340D1E">
            <w:pPr>
              <w:pStyle w:val="Default"/>
              <w:rPr>
                <w:sz w:val="20"/>
                <w:szCs w:val="20"/>
              </w:rPr>
            </w:pPr>
            <w:r>
              <w:rPr>
                <w:sz w:val="20"/>
                <w:szCs w:val="20"/>
              </w:rPr>
              <w:t>06</w:t>
            </w:r>
            <w:r w:rsidR="00062C9E">
              <w:rPr>
                <w:sz w:val="20"/>
                <w:szCs w:val="20"/>
              </w:rPr>
              <w:t xml:space="preserve"> de </w:t>
            </w:r>
            <w:r>
              <w:rPr>
                <w:sz w:val="20"/>
                <w:szCs w:val="20"/>
              </w:rPr>
              <w:t>septiembre</w:t>
            </w:r>
            <w:r w:rsidR="00062C9E">
              <w:rPr>
                <w:sz w:val="20"/>
                <w:szCs w:val="20"/>
              </w:rPr>
              <w:t xml:space="preserve"> de 2017 vía correo electrónico</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t>Respuesta a las aclaraciones</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A5A0C" w:rsidP="00340D1E">
            <w:pPr>
              <w:pStyle w:val="Default"/>
              <w:rPr>
                <w:sz w:val="20"/>
                <w:szCs w:val="20"/>
              </w:rPr>
            </w:pPr>
            <w:r>
              <w:rPr>
                <w:sz w:val="20"/>
                <w:szCs w:val="20"/>
              </w:rPr>
              <w:t>0</w:t>
            </w:r>
            <w:r w:rsidR="00340D1E">
              <w:rPr>
                <w:sz w:val="20"/>
                <w:szCs w:val="20"/>
              </w:rPr>
              <w:t>7</w:t>
            </w:r>
            <w:r w:rsidR="00062C9E">
              <w:rPr>
                <w:sz w:val="20"/>
                <w:szCs w:val="20"/>
              </w:rPr>
              <w:t xml:space="preserve"> de </w:t>
            </w:r>
            <w:r>
              <w:rPr>
                <w:sz w:val="20"/>
                <w:szCs w:val="20"/>
              </w:rPr>
              <w:t>septiembre</w:t>
            </w:r>
            <w:r w:rsidR="00062C9E">
              <w:rPr>
                <w:sz w:val="20"/>
                <w:szCs w:val="20"/>
              </w:rPr>
              <w:t xml:space="preserve"> de 2017 vía correo </w:t>
            </w:r>
            <w:r w:rsidR="00062C9E">
              <w:rPr>
                <w:sz w:val="20"/>
                <w:szCs w:val="20"/>
              </w:rPr>
              <w:lastRenderedPageBreak/>
              <w:t>electrónico</w:t>
            </w:r>
          </w:p>
        </w:tc>
      </w:tr>
      <w:tr w:rsidR="00062C9E" w:rsidTr="00E33D51">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062C9E" w:rsidP="00E33D51">
            <w:pPr>
              <w:pStyle w:val="Default"/>
              <w:rPr>
                <w:sz w:val="20"/>
                <w:szCs w:val="20"/>
              </w:rPr>
            </w:pPr>
            <w:r>
              <w:rPr>
                <w:sz w:val="20"/>
                <w:szCs w:val="20"/>
              </w:rPr>
              <w:lastRenderedPageBreak/>
              <w:t>Adjudicación</w:t>
            </w:r>
          </w:p>
        </w:tc>
        <w:tc>
          <w:tcPr>
            <w:tcW w:w="4489" w:type="dxa"/>
            <w:tcBorders>
              <w:top w:val="single" w:sz="4" w:space="0" w:color="000000"/>
              <w:left w:val="single" w:sz="4" w:space="0" w:color="000000"/>
              <w:bottom w:val="single" w:sz="4" w:space="0" w:color="000000"/>
              <w:right w:val="single" w:sz="4" w:space="0" w:color="000000"/>
            </w:tcBorders>
            <w:vAlign w:val="center"/>
            <w:hideMark/>
          </w:tcPr>
          <w:p w:rsidR="00062C9E" w:rsidRDefault="00340D1E" w:rsidP="00340D1E">
            <w:pPr>
              <w:pStyle w:val="Default"/>
              <w:rPr>
                <w:sz w:val="20"/>
                <w:szCs w:val="20"/>
              </w:rPr>
            </w:pPr>
            <w:r>
              <w:rPr>
                <w:sz w:val="20"/>
                <w:szCs w:val="20"/>
              </w:rPr>
              <w:t>14</w:t>
            </w:r>
            <w:r w:rsidR="00062C9E">
              <w:rPr>
                <w:sz w:val="20"/>
                <w:szCs w:val="20"/>
              </w:rPr>
              <w:t xml:space="preserve"> de septiembre de 2017</w:t>
            </w:r>
          </w:p>
        </w:tc>
      </w:tr>
    </w:tbl>
    <w:p w:rsidR="00062C9E" w:rsidRDefault="00062C9E" w:rsidP="00E7786B"/>
    <w:p w:rsidR="00E7786B" w:rsidRDefault="00E7786B" w:rsidP="003A5A0C">
      <w:pPr>
        <w:jc w:val="both"/>
      </w:pPr>
      <w:r>
        <w:t>Las fechas son tentativas y pueden variar durante el proceso mismo, lo cual será informado oportunamente a los participantes.</w:t>
      </w:r>
    </w:p>
    <w:p w:rsidR="00E7786B" w:rsidRPr="003A5A0C" w:rsidRDefault="00E7786B" w:rsidP="00E7786B">
      <w:pPr>
        <w:rPr>
          <w:b/>
        </w:rPr>
      </w:pPr>
      <w:r w:rsidRPr="003A5A0C">
        <w:rPr>
          <w:b/>
        </w:rPr>
        <w:t>8. VISITA A TERRENO</w:t>
      </w:r>
    </w:p>
    <w:p w:rsidR="00E7786B" w:rsidRDefault="00E7786B" w:rsidP="003A5A0C">
      <w:pPr>
        <w:jc w:val="both"/>
      </w:pPr>
      <w:r>
        <w:t xml:space="preserve">El proceso de licitación considera una visita a terreno de carácter obligatoria, en la fecha indicada en el itinerario, por lo cual las empresas que precalificaron satisfactoriamente deben realizar el siguiente trámite, a más tardar </w:t>
      </w:r>
      <w:r w:rsidRPr="003A5A0C">
        <w:rPr>
          <w:b/>
        </w:rPr>
        <w:t xml:space="preserve">el </w:t>
      </w:r>
      <w:r w:rsidR="00340D1E">
        <w:rPr>
          <w:b/>
        </w:rPr>
        <w:t>jueves 10</w:t>
      </w:r>
      <w:r w:rsidRPr="003A5A0C">
        <w:rPr>
          <w:b/>
        </w:rPr>
        <w:t xml:space="preserve"> de </w:t>
      </w:r>
      <w:r w:rsidR="003A5A0C">
        <w:rPr>
          <w:b/>
        </w:rPr>
        <w:t>agosto</w:t>
      </w:r>
      <w:r w:rsidRPr="003A5A0C">
        <w:rPr>
          <w:b/>
        </w:rPr>
        <w:t xml:space="preserve"> hasta antes de las 16:00 horas</w:t>
      </w:r>
      <w:r>
        <w:t>:</w:t>
      </w:r>
    </w:p>
    <w:p w:rsidR="00E7786B" w:rsidRDefault="00E7786B" w:rsidP="003A5A0C">
      <w:pPr>
        <w:pStyle w:val="Prrafodelista"/>
        <w:numPr>
          <w:ilvl w:val="0"/>
          <w:numId w:val="1"/>
        </w:numPr>
        <w:jc w:val="both"/>
      </w:pPr>
      <w:r>
        <w:t xml:space="preserve">Ingresar a link http://acred.codelco.rmworkmate.com/ en opción “solicite su pase de visita” directa del menú, principal, les pedirá un correo para acceso temporal, a dicho correo se le enviará usuario y </w:t>
      </w:r>
      <w:proofErr w:type="spellStart"/>
      <w:r>
        <w:t>password</w:t>
      </w:r>
      <w:proofErr w:type="spellEnd"/>
      <w:r>
        <w:t>. Posteriormente, ingresa al sistema con estos parámetros y le entrega la opción de solicitar pase de visita, pidiéndoles información mínima y copias de documentos.</w:t>
      </w:r>
    </w:p>
    <w:p w:rsidR="00E7786B" w:rsidRDefault="00E7786B" w:rsidP="003A5A0C">
      <w:pPr>
        <w:jc w:val="both"/>
      </w:pPr>
      <w:r>
        <w:t xml:space="preserve">Concluido el proceso, llegará la autorización al </w:t>
      </w:r>
      <w:r w:rsidRPr="003A5A0C">
        <w:rPr>
          <w:b/>
        </w:rPr>
        <w:t>Superintendente o Director asociado al área</w:t>
      </w:r>
      <w:r>
        <w:t>, para su aprobación, una vez logrado esto, se remitirá al correo un documento que deberá imprimir y que serán leídos por los dispositivos dispuestos en las garitas, permitiendo el acceso en el día vigente en la solicitud.</w:t>
      </w:r>
    </w:p>
    <w:p w:rsidR="00E7786B" w:rsidRDefault="00E7786B" w:rsidP="003A5A0C">
      <w:pPr>
        <w:jc w:val="both"/>
      </w:pPr>
      <w:r>
        <w:t xml:space="preserve">En este proceso el área es la </w:t>
      </w:r>
      <w:r w:rsidRPr="003A5A0C">
        <w:rPr>
          <w:b/>
        </w:rPr>
        <w:t>Superintendencia de Mantención y Suministros</w:t>
      </w:r>
      <w:r>
        <w:t xml:space="preserve"> y el autorizador es el Sr. Manuel </w:t>
      </w:r>
      <w:proofErr w:type="spellStart"/>
      <w:r>
        <w:t>Jímenez</w:t>
      </w:r>
      <w:proofErr w:type="spellEnd"/>
      <w:r>
        <w:t xml:space="preserve"> </w:t>
      </w:r>
      <w:proofErr w:type="spellStart"/>
      <w:r>
        <w:t>Saldías</w:t>
      </w:r>
      <w:proofErr w:type="spellEnd"/>
      <w:r>
        <w:t>, mjime014@codelco.cl, Superintendente M</w:t>
      </w:r>
      <w:r w:rsidR="003A5A0C">
        <w:t>antenimiento y Suministros FURE, o quien lo reemplace.</w:t>
      </w:r>
    </w:p>
    <w:p w:rsidR="00E7786B" w:rsidRPr="003A5A0C" w:rsidRDefault="00E7786B" w:rsidP="003A5A0C">
      <w:pPr>
        <w:pStyle w:val="Sinespaciado"/>
        <w:numPr>
          <w:ilvl w:val="0"/>
          <w:numId w:val="1"/>
        </w:numPr>
        <w:rPr>
          <w:b/>
        </w:rPr>
      </w:pPr>
      <w:r w:rsidRPr="003A5A0C">
        <w:rPr>
          <w:b/>
        </w:rPr>
        <w:t>Lugar de encuentro: Garita Potrerillos</w:t>
      </w:r>
    </w:p>
    <w:p w:rsidR="00E7786B" w:rsidRPr="003A5A0C" w:rsidRDefault="00E7786B" w:rsidP="003A5A0C">
      <w:pPr>
        <w:pStyle w:val="Sinespaciado"/>
        <w:numPr>
          <w:ilvl w:val="0"/>
          <w:numId w:val="1"/>
        </w:numPr>
        <w:rPr>
          <w:b/>
        </w:rPr>
      </w:pPr>
      <w:r w:rsidRPr="003A5A0C">
        <w:rPr>
          <w:b/>
        </w:rPr>
        <w:t>Hora: 10:00 horas</w:t>
      </w:r>
    </w:p>
    <w:p w:rsidR="00E7786B" w:rsidRPr="003A5A0C" w:rsidRDefault="00E7786B" w:rsidP="003A5A0C">
      <w:pPr>
        <w:pStyle w:val="Sinespaciado"/>
        <w:numPr>
          <w:ilvl w:val="0"/>
          <w:numId w:val="1"/>
        </w:numPr>
        <w:rPr>
          <w:b/>
        </w:rPr>
      </w:pPr>
      <w:r w:rsidRPr="003A5A0C">
        <w:rPr>
          <w:b/>
        </w:rPr>
        <w:t>Carácter: Obligatoria</w:t>
      </w:r>
    </w:p>
    <w:p w:rsidR="003A5A0C" w:rsidRDefault="003A5A0C" w:rsidP="003A5A0C">
      <w:pPr>
        <w:jc w:val="both"/>
      </w:pPr>
    </w:p>
    <w:p w:rsidR="00E7786B" w:rsidRDefault="00E7786B" w:rsidP="003A5A0C">
      <w:pPr>
        <w:jc w:val="both"/>
      </w:pPr>
      <w:r>
        <w:t>Los representantes de los Proponentes deberán contar con sus propios medios de movilización y presentarse provistos con elementos de seguridad. Codelco, eventualmente puede proporcionar vehículos para la movilización dentro de las instalaciones que serán visitadas.</w:t>
      </w:r>
    </w:p>
    <w:p w:rsidR="00E7786B" w:rsidRDefault="00E7786B" w:rsidP="003A5A0C">
      <w:pPr>
        <w:jc w:val="both"/>
      </w:pPr>
      <w:r>
        <w:t>Los Proponentes deberán cumplir los procedimientos de ingreso a las instalaciones de Codelco y/o lugares controlados por ella. En particular, los Proponentes deberán asistir con todos los EPP requeridos, es decir, casco, respirador, gafas oscuras y claras, guantes, chaleco geólogo reflectante, ropa antiácida y zapatos de seguridad.</w:t>
      </w:r>
    </w:p>
    <w:p w:rsidR="00E7786B" w:rsidRDefault="00E7786B" w:rsidP="003A5A0C">
      <w:pPr>
        <w:jc w:val="both"/>
      </w:pPr>
      <w:r>
        <w:t>Además se solicita que el asistente a la visita a terreno tenga experiencia en este tipo de servicio, con el propósito de lograr una instancia técnica productiva.</w:t>
      </w:r>
    </w:p>
    <w:p w:rsidR="00E7786B" w:rsidRDefault="00E7786B" w:rsidP="003A5A0C">
      <w:pPr>
        <w:jc w:val="both"/>
      </w:pPr>
      <w:r>
        <w:lastRenderedPageBreak/>
        <w:t>La inasistencia de un Proponente a una reunión o visita a terreno de carácter obligatoria, será causal de impedimento para continuar en el presente Proceso de Licitación. Excepcionalmente, los Proponentes que por causa debidamente justificada hubieren estado impedidos de asistir, podrán solicitar a Codelco una nueva visita o reunión, según corresponda, la que Codelco podrá aceptar o rechazar a su solo criterio.</w:t>
      </w:r>
    </w:p>
    <w:p w:rsidR="003A5A0C" w:rsidRDefault="00E7786B" w:rsidP="003A5A0C">
      <w:pPr>
        <w:jc w:val="both"/>
      </w:pPr>
      <w:r>
        <w:t>Codelco se reserva el derecho de realizar otra reunión y/o visita, para permitir la incorporación de nuevos Proponentes al Proceso de Licitación.</w:t>
      </w:r>
    </w:p>
    <w:p w:rsidR="003A5A0C" w:rsidRDefault="003A5A0C">
      <w:r>
        <w:br w:type="page"/>
      </w:r>
    </w:p>
    <w:p w:rsidR="003A5A0C" w:rsidRDefault="003A5A0C" w:rsidP="003A5A0C">
      <w:pPr>
        <w:jc w:val="center"/>
        <w:rPr>
          <w:rFonts w:ascii="Arial" w:hAnsi="Arial" w:cs="Arial"/>
          <w:b/>
          <w:bCs/>
          <w:sz w:val="27"/>
          <w:szCs w:val="27"/>
        </w:rPr>
      </w:pPr>
      <w:r>
        <w:rPr>
          <w:rFonts w:ascii="Arial" w:hAnsi="Arial" w:cs="Arial"/>
          <w:b/>
          <w:bCs/>
          <w:sz w:val="27"/>
          <w:szCs w:val="27"/>
        </w:rPr>
        <w:lastRenderedPageBreak/>
        <w:t>CORPORACION NACIONAL DEL COBRE DE CHILE</w:t>
      </w:r>
    </w:p>
    <w:p w:rsidR="003A5A0C" w:rsidRDefault="003A5A0C" w:rsidP="003A5A0C">
      <w:pPr>
        <w:jc w:val="center"/>
        <w:rPr>
          <w:rFonts w:ascii="Arial" w:hAnsi="Arial" w:cs="Arial"/>
          <w:b/>
          <w:bCs/>
          <w:sz w:val="27"/>
          <w:szCs w:val="27"/>
        </w:rPr>
      </w:pPr>
      <w:r>
        <w:rPr>
          <w:rFonts w:ascii="Arial" w:hAnsi="Arial" w:cs="Arial"/>
          <w:b/>
          <w:bCs/>
          <w:sz w:val="27"/>
          <w:szCs w:val="27"/>
        </w:rPr>
        <w:t>DIVISION SALVADOR</w:t>
      </w:r>
    </w:p>
    <w:p w:rsidR="003A5A0C" w:rsidRDefault="003A5A0C" w:rsidP="003A5A0C">
      <w:pPr>
        <w:jc w:val="center"/>
        <w:rPr>
          <w:rFonts w:ascii="Arial" w:hAnsi="Arial" w:cs="Arial"/>
          <w:b/>
          <w:bCs/>
          <w:sz w:val="27"/>
          <w:szCs w:val="27"/>
        </w:rPr>
      </w:pPr>
      <w:r>
        <w:rPr>
          <w:rFonts w:ascii="Arial" w:hAnsi="Arial" w:cs="Arial"/>
          <w:b/>
          <w:bCs/>
          <w:sz w:val="27"/>
          <w:szCs w:val="27"/>
        </w:rPr>
        <w:t>DIRECCION DE ABASTECIMIENTO</w:t>
      </w:r>
    </w:p>
    <w:p w:rsidR="003A5A0C" w:rsidRDefault="003A5A0C" w:rsidP="003A5A0C">
      <w:pPr>
        <w:jc w:val="center"/>
        <w:rPr>
          <w:rFonts w:ascii="Arial" w:hAnsi="Arial" w:cs="Arial"/>
          <w:b/>
          <w:bCs/>
          <w:sz w:val="27"/>
          <w:szCs w:val="27"/>
        </w:rPr>
      </w:pPr>
    </w:p>
    <w:p w:rsidR="003A5A0C" w:rsidRDefault="003A5A0C" w:rsidP="003A5A0C">
      <w:pPr>
        <w:jc w:val="center"/>
        <w:rPr>
          <w:rFonts w:ascii="Arial" w:hAnsi="Arial" w:cs="Arial"/>
          <w:b/>
          <w:bCs/>
          <w:sz w:val="27"/>
          <w:szCs w:val="27"/>
        </w:rPr>
      </w:pPr>
    </w:p>
    <w:p w:rsidR="003A5A0C" w:rsidRDefault="003A5A0C" w:rsidP="003A5A0C">
      <w:pPr>
        <w:jc w:val="center"/>
        <w:rPr>
          <w:rFonts w:ascii="Arial" w:hAnsi="Arial" w:cs="Arial"/>
          <w:b/>
          <w:bCs/>
          <w:sz w:val="27"/>
          <w:szCs w:val="27"/>
        </w:rPr>
      </w:pPr>
      <w:r>
        <w:rPr>
          <w:rFonts w:ascii="Helvetica LT Std" w:hAnsi="Helvetica LT Std"/>
          <w:noProof/>
          <w:lang w:eastAsia="es-CL"/>
        </w:rPr>
        <w:drawing>
          <wp:inline distT="0" distB="0" distL="0" distR="0" wp14:anchorId="4BD4A32F" wp14:editId="37851F70">
            <wp:extent cx="2132934" cy="1625203"/>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C.jpg"/>
                    <pic:cNvPicPr/>
                  </pic:nvPicPr>
                  <pic:blipFill rotWithShape="1">
                    <a:blip r:embed="rId7">
                      <a:extLst>
                        <a:ext uri="{28A0092B-C50C-407E-A947-70E740481C1C}">
                          <a14:useLocalDpi xmlns:a14="http://schemas.microsoft.com/office/drawing/2010/main" val="0"/>
                        </a:ext>
                      </a:extLst>
                    </a:blip>
                    <a:srcRect t="40239"/>
                    <a:stretch/>
                  </pic:blipFill>
                  <pic:spPr bwMode="auto">
                    <a:xfrm>
                      <a:off x="0" y="0"/>
                      <a:ext cx="2136643" cy="1628029"/>
                    </a:xfrm>
                    <a:prstGeom prst="rect">
                      <a:avLst/>
                    </a:prstGeom>
                    <a:ln>
                      <a:noFill/>
                    </a:ln>
                    <a:extLst>
                      <a:ext uri="{53640926-AAD7-44D8-BBD7-CCE9431645EC}">
                        <a14:shadowObscured xmlns:a14="http://schemas.microsoft.com/office/drawing/2010/main"/>
                      </a:ext>
                    </a:extLst>
                  </pic:spPr>
                </pic:pic>
              </a:graphicData>
            </a:graphic>
          </wp:inline>
        </w:drawing>
      </w:r>
    </w:p>
    <w:p w:rsidR="003A5A0C" w:rsidRDefault="003A5A0C" w:rsidP="003A5A0C">
      <w:pPr>
        <w:jc w:val="center"/>
        <w:rPr>
          <w:rFonts w:ascii="Arial" w:hAnsi="Arial" w:cs="Arial"/>
          <w:b/>
          <w:bCs/>
          <w:sz w:val="27"/>
          <w:szCs w:val="27"/>
        </w:rPr>
      </w:pPr>
    </w:p>
    <w:p w:rsidR="003A5A0C" w:rsidRDefault="003A5A0C" w:rsidP="003A5A0C">
      <w:pPr>
        <w:jc w:val="center"/>
        <w:rPr>
          <w:rFonts w:ascii="Arial" w:hAnsi="Arial" w:cs="Arial"/>
          <w:b/>
          <w:bCs/>
          <w:sz w:val="27"/>
          <w:szCs w:val="27"/>
        </w:rPr>
      </w:pPr>
    </w:p>
    <w:p w:rsidR="003A5A0C" w:rsidRPr="00E254A3" w:rsidRDefault="003A5A0C" w:rsidP="003A5A0C">
      <w:pPr>
        <w:jc w:val="center"/>
      </w:pPr>
      <w:r>
        <w:rPr>
          <w:rFonts w:ascii="Arial" w:hAnsi="Arial" w:cs="Arial"/>
          <w:b/>
          <w:bCs/>
          <w:sz w:val="27"/>
          <w:szCs w:val="27"/>
        </w:rPr>
        <w:t>BASES DE PRECALIFICACION</w:t>
      </w:r>
    </w:p>
    <w:p w:rsidR="000032FA" w:rsidRPr="000032FA" w:rsidRDefault="003A5A0C" w:rsidP="000032FA">
      <w:pPr>
        <w:pStyle w:val="NormalWeb"/>
        <w:jc w:val="center"/>
        <w:rPr>
          <w:rFonts w:ascii="Arial" w:hAnsi="Arial" w:cs="Arial"/>
          <w:b/>
          <w:bCs/>
          <w:sz w:val="27"/>
          <w:szCs w:val="27"/>
        </w:rPr>
      </w:pPr>
      <w:r>
        <w:rPr>
          <w:rFonts w:ascii="Arial" w:hAnsi="Arial" w:cs="Arial"/>
          <w:b/>
          <w:bCs/>
          <w:sz w:val="27"/>
          <w:szCs w:val="27"/>
        </w:rPr>
        <w:t>LICITACIÓN</w:t>
      </w:r>
      <w:r w:rsidR="000032FA">
        <w:rPr>
          <w:rFonts w:ascii="Arial" w:hAnsi="Arial" w:cs="Arial"/>
          <w:b/>
          <w:bCs/>
          <w:sz w:val="27"/>
          <w:szCs w:val="27"/>
        </w:rPr>
        <w:t xml:space="preserve"> </w:t>
      </w:r>
    </w:p>
    <w:p w:rsidR="003A5A0C" w:rsidRDefault="000032FA" w:rsidP="000032FA">
      <w:pPr>
        <w:pStyle w:val="NormalWeb"/>
        <w:spacing w:before="0" w:beforeAutospacing="0" w:after="200" w:afterAutospacing="0"/>
        <w:jc w:val="center"/>
        <w:rPr>
          <w:rFonts w:ascii="Arial" w:hAnsi="Arial" w:cs="Arial"/>
          <w:b/>
          <w:bCs/>
          <w:sz w:val="27"/>
          <w:szCs w:val="27"/>
        </w:rPr>
      </w:pPr>
      <w:r w:rsidRPr="000032FA">
        <w:rPr>
          <w:rFonts w:ascii="Arial" w:hAnsi="Arial" w:cs="Arial"/>
          <w:b/>
          <w:bCs/>
          <w:sz w:val="27"/>
          <w:szCs w:val="27"/>
        </w:rPr>
        <w:t>“</w:t>
      </w:r>
      <w:r w:rsidR="0094470C" w:rsidRPr="0094470C">
        <w:rPr>
          <w:rFonts w:ascii="Arial" w:hAnsi="Arial" w:cs="Arial"/>
          <w:b/>
          <w:bCs/>
          <w:sz w:val="27"/>
          <w:szCs w:val="27"/>
        </w:rPr>
        <w:t>SERVICIO DE MANTENIMIENTO CELDAS DE MEDIA TENSIÓN, POTRERILLOS 2017</w:t>
      </w:r>
      <w:r w:rsidR="003A5A0C" w:rsidRPr="00D13BDB">
        <w:rPr>
          <w:rFonts w:ascii="Arial" w:hAnsi="Arial" w:cs="Arial"/>
          <w:b/>
          <w:bCs/>
          <w:sz w:val="27"/>
          <w:szCs w:val="27"/>
        </w:rPr>
        <w:t>”</w:t>
      </w:r>
    </w:p>
    <w:p w:rsidR="003A5A0C" w:rsidRDefault="003A5A0C" w:rsidP="003A5A0C">
      <w:pPr>
        <w:jc w:val="center"/>
        <w:rPr>
          <w:rFonts w:ascii="Arial" w:hAnsi="Arial" w:cs="Arial"/>
          <w:b/>
          <w:bCs/>
          <w:sz w:val="27"/>
          <w:szCs w:val="27"/>
        </w:rPr>
      </w:pPr>
    </w:p>
    <w:p w:rsidR="003A5A0C" w:rsidRDefault="003A5A0C" w:rsidP="003A5A0C">
      <w:pPr>
        <w:jc w:val="center"/>
        <w:rPr>
          <w:rFonts w:ascii="Arial" w:hAnsi="Arial" w:cs="Arial"/>
          <w:b/>
          <w:bCs/>
          <w:sz w:val="27"/>
          <w:szCs w:val="27"/>
        </w:rPr>
      </w:pPr>
    </w:p>
    <w:p w:rsidR="003A5A0C" w:rsidRDefault="003A5A0C" w:rsidP="003A5A0C">
      <w:pPr>
        <w:jc w:val="center"/>
        <w:rPr>
          <w:rFonts w:ascii="Arial" w:hAnsi="Arial" w:cs="Arial"/>
          <w:b/>
          <w:bCs/>
          <w:sz w:val="27"/>
          <w:szCs w:val="27"/>
        </w:rPr>
      </w:pPr>
    </w:p>
    <w:p w:rsidR="003A5A0C" w:rsidRDefault="003A5A0C" w:rsidP="003A5A0C">
      <w:pPr>
        <w:jc w:val="center"/>
        <w:rPr>
          <w:rFonts w:ascii="Arial" w:hAnsi="Arial" w:cs="Arial"/>
          <w:b/>
          <w:bCs/>
          <w:sz w:val="27"/>
          <w:szCs w:val="27"/>
        </w:rPr>
      </w:pPr>
    </w:p>
    <w:p w:rsidR="003A5A0C" w:rsidRDefault="003A5A0C" w:rsidP="003A5A0C">
      <w:pPr>
        <w:jc w:val="center"/>
        <w:rPr>
          <w:rFonts w:ascii="Arial" w:hAnsi="Arial" w:cs="Arial"/>
          <w:b/>
          <w:bCs/>
          <w:sz w:val="27"/>
          <w:szCs w:val="27"/>
        </w:rPr>
      </w:pPr>
    </w:p>
    <w:p w:rsidR="003A5A0C" w:rsidRDefault="003A5A0C" w:rsidP="003A5A0C">
      <w:pPr>
        <w:jc w:val="center"/>
        <w:rPr>
          <w:rFonts w:ascii="Arial" w:hAnsi="Arial" w:cs="Arial"/>
          <w:b/>
          <w:bCs/>
          <w:sz w:val="27"/>
          <w:szCs w:val="27"/>
        </w:rPr>
      </w:pPr>
    </w:p>
    <w:p w:rsidR="003A5A0C" w:rsidRDefault="003A5A0C" w:rsidP="003A5A0C">
      <w:pPr>
        <w:jc w:val="center"/>
        <w:rPr>
          <w:rFonts w:ascii="Arial" w:hAnsi="Arial" w:cs="Arial"/>
          <w:b/>
          <w:bCs/>
          <w:sz w:val="27"/>
          <w:szCs w:val="27"/>
        </w:rPr>
      </w:pPr>
      <w:r>
        <w:rPr>
          <w:rFonts w:ascii="Arial" w:hAnsi="Arial" w:cs="Arial"/>
          <w:b/>
          <w:bCs/>
          <w:sz w:val="27"/>
          <w:szCs w:val="27"/>
        </w:rPr>
        <w:t>1</w:t>
      </w:r>
      <w:r w:rsidR="0094470C">
        <w:rPr>
          <w:rFonts w:ascii="Arial" w:hAnsi="Arial" w:cs="Arial"/>
          <w:b/>
          <w:bCs/>
          <w:sz w:val="27"/>
          <w:szCs w:val="27"/>
        </w:rPr>
        <w:t>9</w:t>
      </w:r>
      <w:r>
        <w:rPr>
          <w:rFonts w:ascii="Arial" w:hAnsi="Arial" w:cs="Arial"/>
          <w:b/>
          <w:bCs/>
          <w:sz w:val="27"/>
          <w:szCs w:val="27"/>
        </w:rPr>
        <w:t xml:space="preserve"> de Julio 2017</w:t>
      </w:r>
    </w:p>
    <w:p w:rsidR="0094470C" w:rsidRDefault="0094470C" w:rsidP="003A5A0C">
      <w:pPr>
        <w:jc w:val="center"/>
        <w:rPr>
          <w:rFonts w:ascii="Arial" w:hAnsi="Arial" w:cs="Arial"/>
          <w:b/>
          <w:bCs/>
          <w:sz w:val="27"/>
          <w:szCs w:val="27"/>
        </w:rPr>
      </w:pPr>
    </w:p>
    <w:p w:rsidR="00E7786B" w:rsidRPr="002C66D7" w:rsidRDefault="00E7786B" w:rsidP="00E7786B">
      <w:pPr>
        <w:rPr>
          <w:b/>
        </w:rPr>
      </w:pPr>
      <w:r w:rsidRPr="002C66D7">
        <w:rPr>
          <w:b/>
        </w:rPr>
        <w:lastRenderedPageBreak/>
        <w:t>1 PROPÓSITO Y ALCANCE</w:t>
      </w:r>
    </w:p>
    <w:p w:rsidR="00E7786B" w:rsidRPr="005A6D9E" w:rsidRDefault="00E7786B" w:rsidP="002C66D7">
      <w:pPr>
        <w:jc w:val="both"/>
        <w:rPr>
          <w:b/>
        </w:rPr>
      </w:pPr>
      <w:r>
        <w:t xml:space="preserve">El presente documento contiene los requisitos que los oferentes deben cumplir para participar en la licitación de </w:t>
      </w:r>
      <w:r w:rsidR="0094470C" w:rsidRPr="0094470C">
        <w:rPr>
          <w:b/>
        </w:rPr>
        <w:t>SERVICIO DE MANTENIMIENTO CELDAS DE MEDIA TENSIÓN, POTRERILLOS 2017</w:t>
      </w:r>
      <w:r w:rsidRPr="005A6D9E">
        <w:rPr>
          <w:b/>
        </w:rPr>
        <w:t>.</w:t>
      </w:r>
    </w:p>
    <w:p w:rsidR="00E7786B" w:rsidRDefault="00E7786B" w:rsidP="002C66D7">
      <w:pPr>
        <w:jc w:val="both"/>
      </w:pPr>
      <w:r>
        <w:t>Este instrumento regula exclusivamente la precalificación del proceso de licitación, que se inicia con la invitación a los oferentes a presentar sus antecedentes y concluye con la comunicación de los resultados de la precalificación a los mismos. En ningún caso estas bases serán parte de las disposiciones que regulen la relación contractual que con posterioridad se forme entre CODELCO y el proponente adjudicatario.</w:t>
      </w:r>
    </w:p>
    <w:p w:rsidR="00E7786B" w:rsidRPr="002C66D7" w:rsidRDefault="00E7786B" w:rsidP="00E7786B">
      <w:pPr>
        <w:rPr>
          <w:b/>
        </w:rPr>
      </w:pPr>
      <w:r w:rsidRPr="002C66D7">
        <w:rPr>
          <w:b/>
        </w:rPr>
        <w:t>2 PRECALIFICACIÓN</w:t>
      </w:r>
    </w:p>
    <w:p w:rsidR="00E7786B" w:rsidRDefault="00E7786B" w:rsidP="002C66D7">
      <w:pPr>
        <w:jc w:val="both"/>
      </w:pPr>
      <w:r>
        <w:t>Se considera un proceso de precalificación de antecedentes de seguridad y antecedentes financieros para el proceso de licitación, el oferente podrá presentar ofertas técnicas y económicas, sólo si sus resultados de precalificación son favorables.</w:t>
      </w:r>
    </w:p>
    <w:p w:rsidR="00E7786B" w:rsidRDefault="00E7786B" w:rsidP="002C66D7">
      <w:pPr>
        <w:jc w:val="both"/>
      </w:pPr>
      <w:r>
        <w:t>Las empresas que no aprueben la Precalificación de Seguridad y Antecedentes Técnicos serán eliminadas del proceso de licitación, lo que será comunicado oportunamente al Proponente afectado.</w:t>
      </w:r>
    </w:p>
    <w:p w:rsidR="00E7786B" w:rsidRDefault="00E7786B" w:rsidP="002C66D7">
      <w:pPr>
        <w:jc w:val="both"/>
      </w:pPr>
      <w:r>
        <w:t>Estos datos deben hacerse llegar a través de la Plataforma de Abastecimiento de Codelco, http</w:t>
      </w:r>
      <w:proofErr w:type="gramStart"/>
      <w:r>
        <w:t>:/</w:t>
      </w:r>
      <w:proofErr w:type="gramEnd"/>
      <w:r>
        <w:t xml:space="preserve">/portaldecompras.codelco.cl/irj/portal, a más tardar </w:t>
      </w:r>
      <w:r w:rsidRPr="002C66D7">
        <w:rPr>
          <w:b/>
        </w:rPr>
        <w:t xml:space="preserve">el </w:t>
      </w:r>
      <w:r w:rsidR="002513CB">
        <w:rPr>
          <w:b/>
        </w:rPr>
        <w:t xml:space="preserve">02 </w:t>
      </w:r>
      <w:r w:rsidRPr="002C66D7">
        <w:rPr>
          <w:b/>
        </w:rPr>
        <w:t xml:space="preserve">de </w:t>
      </w:r>
      <w:r w:rsidR="002513CB">
        <w:rPr>
          <w:b/>
        </w:rPr>
        <w:t>Agosto</w:t>
      </w:r>
      <w:r w:rsidRPr="002C66D7">
        <w:rPr>
          <w:b/>
        </w:rPr>
        <w:t xml:space="preserve"> de 2017</w:t>
      </w:r>
      <w:r>
        <w:t xml:space="preserve"> (18:00 horas).</w:t>
      </w:r>
    </w:p>
    <w:p w:rsidR="00E7786B" w:rsidRDefault="00E7786B" w:rsidP="002C66D7">
      <w:pPr>
        <w:jc w:val="both"/>
      </w:pPr>
      <w:r>
        <w:t>Las empresas que entreguen certificados de seguridad con periodos distintos a los solicitados, no serán consideradas para la evaluación y serán eliminadas del proceso de licitación, al igual que aquellos Proponentes que no entreguen la información en los plazos indicados.</w:t>
      </w:r>
    </w:p>
    <w:p w:rsidR="00E7786B" w:rsidRPr="0048782D" w:rsidRDefault="00E7786B" w:rsidP="00E7786B">
      <w:pPr>
        <w:rPr>
          <w:b/>
        </w:rPr>
      </w:pPr>
      <w:r w:rsidRPr="0048782D">
        <w:rPr>
          <w:b/>
        </w:rPr>
        <w:t>3 ANTECEDENTES DE PRECALIFICACION DE SEGURIDAD</w:t>
      </w:r>
    </w:p>
    <w:p w:rsidR="00E7786B" w:rsidRDefault="00E7786B" w:rsidP="0048782D">
      <w:pPr>
        <w:jc w:val="both"/>
      </w:pPr>
      <w:r>
        <w:t>Se solicita a los proponentes presentar indicadores de resultados sobre lesiones al personal, mediante un certificado, debidamente firmado por el organismo administrador del seguro de accidentes del trabajo y enfermedades profesionales (mutual), a la cual se encuentra afiliada la empresa, en el año que conste la siguiente información por separado, para los siguientes periodos:</w:t>
      </w:r>
    </w:p>
    <w:p w:rsidR="00E7786B" w:rsidRDefault="00E7786B" w:rsidP="0048782D">
      <w:pPr>
        <w:pStyle w:val="Prrafodelista"/>
        <w:numPr>
          <w:ilvl w:val="0"/>
          <w:numId w:val="2"/>
        </w:numPr>
      </w:pPr>
      <w:r>
        <w:t>Periodo 1: Junio 2015 – Mayo 2016</w:t>
      </w:r>
    </w:p>
    <w:p w:rsidR="00E7786B" w:rsidRDefault="00E7786B" w:rsidP="0048782D">
      <w:pPr>
        <w:pStyle w:val="Prrafodelista"/>
        <w:numPr>
          <w:ilvl w:val="0"/>
          <w:numId w:val="2"/>
        </w:numPr>
      </w:pPr>
      <w:r>
        <w:t>Periodo 2: Junio 2016 – Mayo 2017</w:t>
      </w:r>
    </w:p>
    <w:p w:rsidR="00E7786B" w:rsidRDefault="00E7786B" w:rsidP="0048782D">
      <w:pPr>
        <w:pStyle w:val="Prrafodelista"/>
        <w:numPr>
          <w:ilvl w:val="0"/>
          <w:numId w:val="2"/>
        </w:numPr>
      </w:pPr>
      <w:r>
        <w:t>Índice de Frecuencia</w:t>
      </w:r>
    </w:p>
    <w:p w:rsidR="00E7786B" w:rsidRDefault="00E7786B" w:rsidP="0048782D">
      <w:pPr>
        <w:pStyle w:val="Prrafodelista"/>
        <w:numPr>
          <w:ilvl w:val="0"/>
          <w:numId w:val="2"/>
        </w:numPr>
      </w:pPr>
      <w:r>
        <w:t>Tasa de gravedad</w:t>
      </w:r>
    </w:p>
    <w:p w:rsidR="00E7786B" w:rsidRDefault="00E7786B" w:rsidP="0048782D">
      <w:pPr>
        <w:pStyle w:val="Prrafodelista"/>
        <w:numPr>
          <w:ilvl w:val="0"/>
          <w:numId w:val="2"/>
        </w:numPr>
      </w:pPr>
      <w:r>
        <w:t>N° Accidentes fatales</w:t>
      </w:r>
    </w:p>
    <w:p w:rsidR="00E7786B" w:rsidRDefault="00E7786B" w:rsidP="0048782D">
      <w:pPr>
        <w:pStyle w:val="Prrafodelista"/>
        <w:numPr>
          <w:ilvl w:val="0"/>
          <w:numId w:val="2"/>
        </w:numPr>
      </w:pPr>
      <w:r>
        <w:t>Cotización Adicional diferenciada vigente de la empresa</w:t>
      </w:r>
    </w:p>
    <w:p w:rsidR="00E7786B" w:rsidRDefault="00E7786B" w:rsidP="0048782D">
      <w:pPr>
        <w:pStyle w:val="Prrafodelista"/>
        <w:numPr>
          <w:ilvl w:val="0"/>
          <w:numId w:val="2"/>
        </w:numPr>
      </w:pPr>
      <w:r>
        <w:t>Cotización Adicional diferenciada que le corresponde a la empresa según DS 110. Además, debe mencionar la actividad económica de la empresa.</w:t>
      </w:r>
    </w:p>
    <w:p w:rsidR="00E7786B" w:rsidRDefault="00E7786B" w:rsidP="0048782D">
      <w:pPr>
        <w:pStyle w:val="Prrafodelista"/>
        <w:numPr>
          <w:ilvl w:val="0"/>
          <w:numId w:val="2"/>
        </w:numPr>
      </w:pPr>
      <w:r>
        <w:t>Número de HH trabajadas en los periodos arriba mencionados.</w:t>
      </w:r>
    </w:p>
    <w:p w:rsidR="00E7786B" w:rsidRDefault="00E7786B" w:rsidP="0048782D">
      <w:pPr>
        <w:pStyle w:val="Prrafodelista"/>
        <w:numPr>
          <w:ilvl w:val="0"/>
          <w:numId w:val="2"/>
        </w:numPr>
      </w:pPr>
      <w:r>
        <w:lastRenderedPageBreak/>
        <w:t>Certificado vigente de los Sistemas de Gestión de Seguridad y Salud en el Trabajo, Calidad y Medio Ambiente, entregados por el organismo certificador.</w:t>
      </w:r>
    </w:p>
    <w:p w:rsidR="00E7786B" w:rsidRDefault="00E7786B" w:rsidP="0048782D">
      <w:pPr>
        <w:pStyle w:val="Prrafodelista"/>
        <w:numPr>
          <w:ilvl w:val="0"/>
          <w:numId w:val="2"/>
        </w:numPr>
      </w:pPr>
      <w:r>
        <w:t>Evaluación RESSO (periodos 1 y 2) (*)</w:t>
      </w:r>
    </w:p>
    <w:p w:rsidR="00E7786B" w:rsidRDefault="00E7786B" w:rsidP="0048782D">
      <w:pPr>
        <w:jc w:val="both"/>
      </w:pPr>
      <w:r>
        <w:t>(*) Corresponde a la evaluación final RESSO realizadas a la empresa contratista y subcontratistas durante la ejecución de un servicio en la Divisi</w:t>
      </w:r>
      <w:r w:rsidR="0048782D">
        <w:t>ó</w:t>
      </w:r>
      <w:r>
        <w:t>n o Proyecto.</w:t>
      </w:r>
    </w:p>
    <w:p w:rsidR="00E7786B" w:rsidRDefault="00E7786B" w:rsidP="0048782D">
      <w:pPr>
        <w:jc w:val="both"/>
      </w:pPr>
      <w:r>
        <w:t>Si la empresa mantiene contrato vigente, el PRESSO corresponderá al promedio ponderado de todas las evaluaciones RESSO realizadas a la fecha, durante los 2 últimos periodos, en la Divisi</w:t>
      </w:r>
      <w:r w:rsidR="0048782D">
        <w:t>ó</w:t>
      </w:r>
      <w:r>
        <w:t>n o Proyecto.</w:t>
      </w:r>
    </w:p>
    <w:p w:rsidR="00E7786B" w:rsidRDefault="00E7786B" w:rsidP="0048782D">
      <w:pPr>
        <w:jc w:val="both"/>
      </w:pPr>
      <w:r>
        <w:t>Si la empresa no tiene contrato vigente en la Divisi</w:t>
      </w:r>
      <w:r w:rsidR="0048782D">
        <w:t>ó</w:t>
      </w:r>
      <w:r>
        <w:t>n o Proyecto en la que se está evaluando la precalificación, el PRESSO considerará las evaluaciones promedio de los resultados obtenidos en los contratos cerrados en otras Divisiones o Proyectos, durante los 2 últimos periodos.</w:t>
      </w:r>
    </w:p>
    <w:p w:rsidR="00E7786B" w:rsidRDefault="00E7786B" w:rsidP="0048782D">
      <w:pPr>
        <w:jc w:val="both"/>
      </w:pPr>
      <w:r>
        <w:t>El cálculo del puntaje correspondiente a la gestión de riesgos, será realizado por El Departamento de Gestión de Riesgos y se obtendrá aplicando el Instructivo GAB-I-203 “Precalificación de Empresas Contratistas, para Procesos de Contratación, en Materia de Riesgos Profesionales, Ambiente y Calidad”.</w:t>
      </w:r>
    </w:p>
    <w:p w:rsidR="00E7786B" w:rsidRPr="0048782D" w:rsidRDefault="000032FA" w:rsidP="00E7786B">
      <w:pPr>
        <w:rPr>
          <w:b/>
        </w:rPr>
      </w:pPr>
      <w:r>
        <w:rPr>
          <w:b/>
        </w:rPr>
        <w:t>4</w:t>
      </w:r>
      <w:r w:rsidR="00E7786B" w:rsidRPr="0048782D">
        <w:rPr>
          <w:b/>
        </w:rPr>
        <w:t xml:space="preserve"> </w:t>
      </w:r>
      <w:r w:rsidRPr="0048782D">
        <w:rPr>
          <w:b/>
        </w:rPr>
        <w:t>ANTECEDENTES IDENTIFICACIÓN DEL OFERENTE, COMERCIALES, LABORALES Y PREVISIONALES</w:t>
      </w:r>
    </w:p>
    <w:p w:rsidR="00E7786B" w:rsidRDefault="00E7786B" w:rsidP="0048782D">
      <w:pPr>
        <w:pStyle w:val="Prrafodelista"/>
        <w:numPr>
          <w:ilvl w:val="0"/>
          <w:numId w:val="5"/>
        </w:numPr>
        <w:jc w:val="both"/>
      </w:pPr>
      <w:r>
        <w:t>Los Postulantes deberán presentar el documento ANT-01 con la identificación del oferente, completando todos los campos solicitados en él (se anexa).</w:t>
      </w:r>
    </w:p>
    <w:p w:rsidR="00E7786B" w:rsidRDefault="00E7786B" w:rsidP="0048782D">
      <w:pPr>
        <w:pStyle w:val="Prrafodelista"/>
        <w:numPr>
          <w:ilvl w:val="0"/>
          <w:numId w:val="5"/>
        </w:numPr>
        <w:jc w:val="both"/>
      </w:pPr>
      <w:r>
        <w:t xml:space="preserve">Los Postulantes deberán presentar un certificado de los antecedentes comerciales de la empresa, otorgado por la empresa consultora de informaciones comerciales (Certificado </w:t>
      </w:r>
      <w:proofErr w:type="spellStart"/>
      <w:r>
        <w:t>Dicom</w:t>
      </w:r>
      <w:proofErr w:type="spellEnd"/>
      <w:r>
        <w:t>, Full Empresas o similar). Presentar en formato original emitido por la entidad.</w:t>
      </w:r>
    </w:p>
    <w:p w:rsidR="00E7786B" w:rsidRDefault="00E7786B" w:rsidP="0048782D">
      <w:pPr>
        <w:pStyle w:val="Prrafodelista"/>
        <w:numPr>
          <w:ilvl w:val="0"/>
          <w:numId w:val="5"/>
        </w:numPr>
        <w:jc w:val="both"/>
      </w:pPr>
      <w:r>
        <w:t>Además, se deberá acompañar un certificado emitido por la Inspección del Trabajo, que acredite la no existencia de multas y reclamos pendientes por incumplimiento de obligaciones previsionales y laborales (F-30). Presentar en formato original emitido por la entidad.</w:t>
      </w:r>
    </w:p>
    <w:p w:rsidR="00E7786B" w:rsidRDefault="00E7786B" w:rsidP="0048782D">
      <w:pPr>
        <w:jc w:val="both"/>
      </w:pPr>
      <w:r>
        <w:t>Ambos certificados deberán ser presentados actualizados a la fecha de entrega de la estos antecedentes. Si los certificados registran información negativa, el Postulante deberá acreditar la aclaración o pago de cada uno de ellos, indicando la situación en que se encuentra actualmente y en caso de que no hayan sido aclarados, el Postulante deberá entregar un plan de acción, a lo más 1 (una) semana de plazo para solucionar dicha situación. En caso de que la empresa haya superado el proceso de evaluación, pero aún no tenga aclarada esta situación al momento de la apertura de la oferta económica, la empresa o consorcio podrá ser eliminada del proceso.</w:t>
      </w:r>
    </w:p>
    <w:p w:rsidR="00E7786B" w:rsidRPr="0048782D" w:rsidRDefault="00E7786B" w:rsidP="0048782D">
      <w:pPr>
        <w:pStyle w:val="Sinespaciado"/>
        <w:jc w:val="both"/>
        <w:rPr>
          <w:b/>
        </w:rPr>
      </w:pPr>
      <w:r w:rsidRPr="0048782D">
        <w:rPr>
          <w:b/>
        </w:rPr>
        <w:t>Nota:</w:t>
      </w:r>
    </w:p>
    <w:p w:rsidR="00E7786B" w:rsidRPr="0048782D" w:rsidRDefault="00E7786B" w:rsidP="0048782D">
      <w:pPr>
        <w:pStyle w:val="Sinespaciado"/>
        <w:jc w:val="both"/>
        <w:rPr>
          <w:b/>
        </w:rPr>
      </w:pPr>
      <w:r w:rsidRPr="0048782D">
        <w:rPr>
          <w:b/>
        </w:rPr>
        <w:t>Sólo serán evaluados los antecedentes de seguridad de los períodos señalados, y deben ser enviados vía portal de compras en la fecha indicada en el itinerario.</w:t>
      </w:r>
    </w:p>
    <w:p w:rsidR="0048782D" w:rsidRDefault="0048782D" w:rsidP="00E7786B"/>
    <w:p w:rsidR="002513CB" w:rsidRPr="006C0CBE" w:rsidRDefault="002513CB" w:rsidP="002513CB">
      <w:pPr>
        <w:jc w:val="both"/>
        <w:rPr>
          <w:rFonts w:ascii="Arial" w:hAnsi="Arial" w:cs="Arial"/>
          <w:b/>
        </w:rPr>
      </w:pPr>
      <w:r>
        <w:rPr>
          <w:rFonts w:ascii="Arial" w:hAnsi="Arial" w:cs="Arial"/>
          <w:b/>
        </w:rPr>
        <w:lastRenderedPageBreak/>
        <w:t>5</w:t>
      </w:r>
      <w:r>
        <w:rPr>
          <w:rFonts w:ascii="Arial" w:hAnsi="Arial" w:cs="Arial"/>
          <w:b/>
        </w:rPr>
        <w:tab/>
      </w:r>
      <w:r w:rsidRPr="006C0CBE">
        <w:rPr>
          <w:rFonts w:ascii="Arial" w:hAnsi="Arial" w:cs="Arial"/>
          <w:b/>
        </w:rPr>
        <w:t>PRECALIFICACION ANTECEDENTES FINANCIEROS</w:t>
      </w:r>
    </w:p>
    <w:p w:rsidR="002513CB" w:rsidRPr="006C0CBE" w:rsidRDefault="002513CB" w:rsidP="002513CB">
      <w:pPr>
        <w:jc w:val="both"/>
        <w:rPr>
          <w:rFonts w:ascii="Arial" w:hAnsi="Arial" w:cs="Arial"/>
        </w:rPr>
      </w:pPr>
      <w:r w:rsidRPr="006C0CBE">
        <w:rPr>
          <w:rFonts w:ascii="Arial" w:hAnsi="Arial" w:cs="Arial"/>
        </w:rPr>
        <w:t>Para precalificar este aspecto, se revisarán los siguientes antecedentes:</w:t>
      </w:r>
    </w:p>
    <w:p w:rsidR="002513CB" w:rsidRPr="006C0CBE" w:rsidRDefault="002513CB" w:rsidP="002513CB">
      <w:pPr>
        <w:jc w:val="both"/>
        <w:rPr>
          <w:rFonts w:ascii="Arial" w:hAnsi="Arial" w:cs="Arial"/>
        </w:rPr>
      </w:pPr>
      <w:r w:rsidRPr="006C0CBE">
        <w:rPr>
          <w:rFonts w:ascii="Arial" w:hAnsi="Arial" w:cs="Arial"/>
        </w:rPr>
        <w:t>I.</w:t>
      </w:r>
      <w:r w:rsidRPr="006C0CBE">
        <w:rPr>
          <w:rFonts w:ascii="Arial" w:hAnsi="Arial" w:cs="Arial"/>
        </w:rPr>
        <w:tab/>
        <w:t>Capital de trabajo.</w:t>
      </w:r>
    </w:p>
    <w:p w:rsidR="002513CB" w:rsidRPr="006C0CBE" w:rsidRDefault="002513CB" w:rsidP="002513CB">
      <w:pPr>
        <w:jc w:val="both"/>
        <w:rPr>
          <w:rFonts w:ascii="Arial" w:hAnsi="Arial" w:cs="Arial"/>
        </w:rPr>
      </w:pPr>
      <w:r w:rsidRPr="006C0CBE">
        <w:rPr>
          <w:rFonts w:ascii="Arial" w:hAnsi="Arial" w:cs="Arial"/>
        </w:rPr>
        <w:t>II.</w:t>
      </w:r>
      <w:r w:rsidRPr="006C0CBE">
        <w:rPr>
          <w:rFonts w:ascii="Arial" w:hAnsi="Arial" w:cs="Arial"/>
        </w:rPr>
        <w:tab/>
        <w:t>Patrimonio.</w:t>
      </w:r>
    </w:p>
    <w:p w:rsidR="002513CB" w:rsidRPr="006C0CBE" w:rsidRDefault="002513CB" w:rsidP="002513CB">
      <w:pPr>
        <w:jc w:val="both"/>
        <w:rPr>
          <w:rFonts w:ascii="Arial" w:hAnsi="Arial" w:cs="Arial"/>
        </w:rPr>
      </w:pPr>
      <w:r w:rsidRPr="006C0CBE">
        <w:rPr>
          <w:rFonts w:ascii="Arial" w:hAnsi="Arial" w:cs="Arial"/>
        </w:rPr>
        <w:t>III.</w:t>
      </w:r>
      <w:r w:rsidRPr="006C0CBE">
        <w:rPr>
          <w:rFonts w:ascii="Arial" w:hAnsi="Arial" w:cs="Arial"/>
        </w:rPr>
        <w:tab/>
        <w:t>Liquidez</w:t>
      </w:r>
    </w:p>
    <w:p w:rsidR="002513CB" w:rsidRPr="006C0CBE" w:rsidRDefault="002513CB" w:rsidP="002513CB">
      <w:pPr>
        <w:jc w:val="both"/>
        <w:rPr>
          <w:rFonts w:ascii="Arial" w:hAnsi="Arial" w:cs="Arial"/>
        </w:rPr>
      </w:pPr>
      <w:r w:rsidRPr="006C0CBE">
        <w:rPr>
          <w:rFonts w:ascii="Arial" w:hAnsi="Arial" w:cs="Arial"/>
        </w:rPr>
        <w:t>IV.</w:t>
      </w:r>
      <w:r w:rsidRPr="006C0CBE">
        <w:rPr>
          <w:rFonts w:ascii="Arial" w:hAnsi="Arial" w:cs="Arial"/>
        </w:rPr>
        <w:tab/>
        <w:t>Endeudamiento</w:t>
      </w:r>
    </w:p>
    <w:p w:rsidR="002513CB" w:rsidRPr="006C0CBE" w:rsidRDefault="002513CB" w:rsidP="002513CB">
      <w:pPr>
        <w:jc w:val="both"/>
        <w:rPr>
          <w:rFonts w:ascii="Arial" w:hAnsi="Arial" w:cs="Arial"/>
        </w:rPr>
      </w:pPr>
      <w:r w:rsidRPr="006C0CBE">
        <w:rPr>
          <w:rFonts w:ascii="Arial" w:hAnsi="Arial" w:cs="Arial"/>
        </w:rPr>
        <w:t>III.</w:t>
      </w:r>
      <w:r w:rsidRPr="006C0CBE">
        <w:rPr>
          <w:rFonts w:ascii="Arial" w:hAnsi="Arial" w:cs="Arial"/>
        </w:rPr>
        <w:tab/>
        <w:t>Antecedentes Comerciales, Laborales y Previsionales.</w:t>
      </w:r>
    </w:p>
    <w:p w:rsidR="002513CB" w:rsidRPr="006C0CBE" w:rsidRDefault="002513CB" w:rsidP="002513CB">
      <w:pPr>
        <w:rPr>
          <w:rFonts w:ascii="Arial" w:hAnsi="Arial" w:cs="Arial"/>
          <w:b/>
        </w:rPr>
      </w:pPr>
    </w:p>
    <w:p w:rsidR="002513CB" w:rsidRPr="006C0CBE" w:rsidRDefault="002513CB" w:rsidP="002513CB">
      <w:pPr>
        <w:jc w:val="both"/>
        <w:rPr>
          <w:rFonts w:ascii="Arial" w:hAnsi="Arial" w:cs="Arial"/>
          <w:b/>
        </w:rPr>
      </w:pPr>
      <w:r w:rsidRPr="006C0CBE">
        <w:rPr>
          <w:rFonts w:ascii="Arial" w:hAnsi="Arial" w:cs="Arial"/>
          <w:b/>
        </w:rPr>
        <w:t>a) Liquidez, Endeudamiento, Patrimonio y Capital de trabajo.</w:t>
      </w:r>
    </w:p>
    <w:p w:rsidR="002513CB" w:rsidRDefault="002513CB" w:rsidP="002513CB">
      <w:pPr>
        <w:jc w:val="both"/>
        <w:rPr>
          <w:rFonts w:ascii="Arial" w:hAnsi="Arial" w:cs="Arial"/>
        </w:rPr>
      </w:pPr>
      <w:r w:rsidRPr="006C0CBE">
        <w:rPr>
          <w:rFonts w:ascii="Arial" w:hAnsi="Arial" w:cs="Arial"/>
        </w:rPr>
        <w:t xml:space="preserve">Los indicadores financieros exigibles en esta licitación son los siguientes: </w:t>
      </w:r>
    </w:p>
    <w:p w:rsidR="002513CB" w:rsidRPr="00C57A5E" w:rsidRDefault="002513CB" w:rsidP="002513CB">
      <w:pPr>
        <w:numPr>
          <w:ilvl w:val="0"/>
          <w:numId w:val="7"/>
        </w:numPr>
        <w:spacing w:after="0" w:line="240" w:lineRule="auto"/>
        <w:contextualSpacing/>
        <w:jc w:val="both"/>
        <w:rPr>
          <w:rFonts w:ascii="Arial" w:hAnsi="Arial" w:cs="Arial"/>
        </w:rPr>
      </w:pPr>
      <w:r w:rsidRPr="00C57A5E">
        <w:rPr>
          <w:rFonts w:ascii="Arial" w:hAnsi="Arial" w:cs="Arial"/>
        </w:rPr>
        <w:t>Liquidez &gt; 1</w:t>
      </w:r>
    </w:p>
    <w:p w:rsidR="002513CB" w:rsidRPr="00C57A5E" w:rsidRDefault="002513CB" w:rsidP="002513CB">
      <w:pPr>
        <w:numPr>
          <w:ilvl w:val="0"/>
          <w:numId w:val="7"/>
        </w:numPr>
        <w:spacing w:after="0" w:line="240" w:lineRule="auto"/>
        <w:contextualSpacing/>
        <w:jc w:val="both"/>
        <w:rPr>
          <w:rFonts w:ascii="Arial" w:hAnsi="Arial" w:cs="Arial"/>
        </w:rPr>
      </w:pPr>
      <w:r w:rsidRPr="00C57A5E">
        <w:rPr>
          <w:rFonts w:ascii="Arial" w:hAnsi="Arial" w:cs="Arial"/>
        </w:rPr>
        <w:t>Endeudamiento &lt; 2</w:t>
      </w:r>
    </w:p>
    <w:p w:rsidR="002513CB" w:rsidRPr="00C57A5E" w:rsidRDefault="002513CB" w:rsidP="002513CB">
      <w:pPr>
        <w:numPr>
          <w:ilvl w:val="0"/>
          <w:numId w:val="7"/>
        </w:numPr>
        <w:spacing w:after="0" w:line="240" w:lineRule="auto"/>
        <w:contextualSpacing/>
        <w:jc w:val="both"/>
        <w:rPr>
          <w:rFonts w:ascii="Arial" w:hAnsi="Arial" w:cs="Arial"/>
        </w:rPr>
      </w:pPr>
      <w:r w:rsidRPr="00C57A5E">
        <w:rPr>
          <w:rFonts w:ascii="Arial" w:hAnsi="Arial" w:cs="Arial"/>
        </w:rPr>
        <w:t>Capital de Trabajo</w:t>
      </w:r>
      <w:r w:rsidRPr="00C57A5E">
        <w:rPr>
          <w:rFonts w:ascii="Arial" w:hAnsi="Arial" w:cs="Arial"/>
        </w:rPr>
        <w:tab/>
        <w:t xml:space="preserve">≥ USD </w:t>
      </w:r>
      <w:r>
        <w:rPr>
          <w:rFonts w:ascii="Arial" w:hAnsi="Arial" w:cs="Arial"/>
        </w:rPr>
        <w:t>1</w:t>
      </w:r>
      <w:r>
        <w:rPr>
          <w:rFonts w:ascii="Arial" w:hAnsi="Arial" w:cs="Arial"/>
        </w:rPr>
        <w:t>1.400</w:t>
      </w:r>
    </w:p>
    <w:p w:rsidR="002513CB" w:rsidRPr="00211F53" w:rsidRDefault="002513CB" w:rsidP="002513CB">
      <w:pPr>
        <w:numPr>
          <w:ilvl w:val="0"/>
          <w:numId w:val="7"/>
        </w:numPr>
        <w:spacing w:after="0" w:line="240" w:lineRule="auto"/>
        <w:contextualSpacing/>
        <w:jc w:val="both"/>
        <w:rPr>
          <w:rFonts w:ascii="Arial" w:hAnsi="Arial" w:cs="Arial"/>
          <w:b/>
        </w:rPr>
      </w:pPr>
      <w:r w:rsidRPr="00211F53">
        <w:rPr>
          <w:rFonts w:ascii="Arial" w:hAnsi="Arial" w:cs="Arial"/>
        </w:rPr>
        <w:t>Patrimonio</w:t>
      </w:r>
      <w:r w:rsidRPr="00211F53">
        <w:rPr>
          <w:rFonts w:ascii="Arial" w:hAnsi="Arial" w:cs="Arial"/>
        </w:rPr>
        <w:tab/>
        <w:t xml:space="preserve">≥USD </w:t>
      </w:r>
      <w:r>
        <w:rPr>
          <w:rFonts w:ascii="Arial" w:hAnsi="Arial" w:cs="Arial"/>
        </w:rPr>
        <w:t>22.800</w:t>
      </w:r>
    </w:p>
    <w:p w:rsidR="002513CB" w:rsidRPr="00211F53" w:rsidRDefault="002513CB" w:rsidP="002513CB">
      <w:pPr>
        <w:numPr>
          <w:ilvl w:val="0"/>
          <w:numId w:val="7"/>
        </w:numPr>
        <w:spacing w:after="0" w:line="240" w:lineRule="auto"/>
        <w:contextualSpacing/>
        <w:jc w:val="both"/>
        <w:rPr>
          <w:rFonts w:ascii="Arial" w:hAnsi="Arial" w:cs="Arial"/>
          <w:b/>
        </w:rPr>
      </w:pPr>
    </w:p>
    <w:p w:rsidR="002513CB" w:rsidRPr="006C0CBE" w:rsidRDefault="002513CB" w:rsidP="002513CB">
      <w:pPr>
        <w:jc w:val="both"/>
        <w:rPr>
          <w:rFonts w:ascii="Arial" w:hAnsi="Arial" w:cs="Arial"/>
        </w:rPr>
      </w:pPr>
      <w:r w:rsidRPr="006C0CBE">
        <w:rPr>
          <w:rFonts w:ascii="Arial" w:hAnsi="Arial" w:cs="Arial"/>
        </w:rPr>
        <w:t>La información para el cálculo de estos indicadores será obtenida de los datos financieros disponibles en el Registro de Empresas REGIC (o el que lo reemplace). Para las empresas no inscritas en REGIC y que participen del proceso de licitación, deben presentar los Estados Financieros auditados.</w:t>
      </w:r>
    </w:p>
    <w:p w:rsidR="002513CB" w:rsidRDefault="002513CB" w:rsidP="002513CB">
      <w:pPr>
        <w:jc w:val="both"/>
        <w:rPr>
          <w:rFonts w:ascii="Arial" w:hAnsi="Arial" w:cs="Arial"/>
        </w:rPr>
      </w:pPr>
      <w:r w:rsidRPr="006C0CBE">
        <w:rPr>
          <w:rFonts w:ascii="Arial" w:hAnsi="Arial" w:cs="Arial"/>
        </w:rPr>
        <w:t>En caso que los indicadores financieros de “liquidez y endeudamiento”  no se encuentren en el rango exigido, la empresa puede presentar un plan de mejora de éstos, acompañando los siguientes antecedentes, para ser sometidos a consideración de Codelco.</w:t>
      </w:r>
    </w:p>
    <w:p w:rsidR="002513CB" w:rsidRPr="006C0CBE" w:rsidRDefault="002513CB" w:rsidP="002513CB">
      <w:pPr>
        <w:numPr>
          <w:ilvl w:val="0"/>
          <w:numId w:val="8"/>
        </w:numPr>
        <w:spacing w:after="0" w:line="240" w:lineRule="auto"/>
        <w:contextualSpacing/>
        <w:jc w:val="both"/>
        <w:rPr>
          <w:rFonts w:ascii="Arial" w:hAnsi="Arial" w:cs="Arial"/>
        </w:rPr>
      </w:pPr>
      <w:r w:rsidRPr="006C0CBE">
        <w:rPr>
          <w:rFonts w:ascii="Arial" w:hAnsi="Arial" w:cs="Arial"/>
        </w:rPr>
        <w:t xml:space="preserve">Descripción breve de las Políticas de Endeudamiento. </w:t>
      </w:r>
    </w:p>
    <w:p w:rsidR="002513CB" w:rsidRPr="006C0CBE" w:rsidRDefault="002513CB" w:rsidP="002513CB">
      <w:pPr>
        <w:numPr>
          <w:ilvl w:val="0"/>
          <w:numId w:val="8"/>
        </w:numPr>
        <w:spacing w:after="0" w:line="240" w:lineRule="auto"/>
        <w:contextualSpacing/>
        <w:jc w:val="both"/>
        <w:rPr>
          <w:rFonts w:ascii="Arial" w:hAnsi="Arial" w:cs="Arial"/>
        </w:rPr>
      </w:pPr>
      <w:r w:rsidRPr="006C0CBE">
        <w:rPr>
          <w:rFonts w:ascii="Arial" w:hAnsi="Arial" w:cs="Arial"/>
        </w:rPr>
        <w:t>Futuros proyectos de inversión y periodo esperado de ejecución.</w:t>
      </w:r>
    </w:p>
    <w:p w:rsidR="002513CB" w:rsidRPr="00C57A5E" w:rsidRDefault="002513CB" w:rsidP="002513CB">
      <w:pPr>
        <w:numPr>
          <w:ilvl w:val="0"/>
          <w:numId w:val="8"/>
        </w:numPr>
        <w:spacing w:after="0" w:line="240" w:lineRule="auto"/>
        <w:contextualSpacing/>
        <w:jc w:val="both"/>
        <w:rPr>
          <w:rFonts w:ascii="Arial" w:hAnsi="Arial" w:cs="Arial"/>
        </w:rPr>
      </w:pPr>
      <w:r w:rsidRPr="00C57A5E">
        <w:rPr>
          <w:rFonts w:ascii="Arial" w:hAnsi="Arial" w:cs="Arial"/>
        </w:rPr>
        <w:t xml:space="preserve">Inversiones en activos fijos. </w:t>
      </w:r>
    </w:p>
    <w:p w:rsidR="002513CB" w:rsidRPr="006C0CBE" w:rsidRDefault="002513CB" w:rsidP="002513CB">
      <w:pPr>
        <w:numPr>
          <w:ilvl w:val="0"/>
          <w:numId w:val="8"/>
        </w:numPr>
        <w:spacing w:after="0" w:line="240" w:lineRule="auto"/>
        <w:contextualSpacing/>
        <w:jc w:val="both"/>
        <w:rPr>
          <w:rFonts w:ascii="Arial" w:hAnsi="Arial" w:cs="Arial"/>
        </w:rPr>
      </w:pPr>
      <w:r w:rsidRPr="006C0CBE">
        <w:rPr>
          <w:rFonts w:ascii="Arial" w:hAnsi="Arial" w:cs="Arial"/>
        </w:rPr>
        <w:t>Proyectos de expansión, diversificación u otros estratégicos en el crecimiento de la empresa.</w:t>
      </w:r>
    </w:p>
    <w:p w:rsidR="002513CB" w:rsidRDefault="002513CB" w:rsidP="002513CB">
      <w:pPr>
        <w:jc w:val="both"/>
        <w:rPr>
          <w:rFonts w:ascii="Arial" w:hAnsi="Arial" w:cs="Arial"/>
        </w:rPr>
      </w:pPr>
    </w:p>
    <w:p w:rsidR="002513CB" w:rsidRPr="006C0CBE" w:rsidRDefault="002513CB" w:rsidP="002513CB">
      <w:pPr>
        <w:jc w:val="both"/>
        <w:rPr>
          <w:rFonts w:ascii="Arial" w:hAnsi="Arial" w:cs="Arial"/>
        </w:rPr>
      </w:pPr>
      <w:r w:rsidRPr="006C0CBE">
        <w:rPr>
          <w:rFonts w:ascii="Arial" w:hAnsi="Arial" w:cs="Arial"/>
        </w:rPr>
        <w:t>Además, será requisito para los Postulantes cuya Casa Matriz se encuentre en el extranjero, presentar una Carta de Respaldo Financiero firmada por el Representante Legal ante Notario.</w:t>
      </w:r>
    </w:p>
    <w:p w:rsidR="002513CB" w:rsidRDefault="002513CB">
      <w:pPr>
        <w:rPr>
          <w:b/>
        </w:rPr>
      </w:pPr>
      <w:r>
        <w:rPr>
          <w:b/>
        </w:rPr>
        <w:br w:type="page"/>
      </w:r>
    </w:p>
    <w:p w:rsidR="00E7786B" w:rsidRPr="0048782D" w:rsidRDefault="002513CB" w:rsidP="00E7786B">
      <w:pPr>
        <w:rPr>
          <w:b/>
        </w:rPr>
      </w:pPr>
      <w:r>
        <w:rPr>
          <w:b/>
        </w:rPr>
        <w:lastRenderedPageBreak/>
        <w:t>6</w:t>
      </w:r>
      <w:r w:rsidR="00E7786B" w:rsidRPr="0048782D">
        <w:rPr>
          <w:b/>
        </w:rPr>
        <w:t xml:space="preserve"> COMISIÓN EVALUADORA DE PRECALIFICACIÓN</w:t>
      </w:r>
    </w:p>
    <w:p w:rsidR="00E7786B" w:rsidRDefault="00E7786B" w:rsidP="0048782D">
      <w:pPr>
        <w:jc w:val="both"/>
      </w:pPr>
      <w:r>
        <w:t>Todos los antecedentes solicitados en las presentes Bases de Precalificación serán evaluados por personal de Codelco Chile o a quien Codelco defina.</w:t>
      </w:r>
    </w:p>
    <w:p w:rsidR="0048782D" w:rsidRDefault="00E7786B" w:rsidP="0048782D">
      <w:pPr>
        <w:jc w:val="both"/>
      </w:pPr>
      <w:r>
        <w:t xml:space="preserve">En esta ocasión la Comisión </w:t>
      </w:r>
      <w:proofErr w:type="spellStart"/>
      <w:r>
        <w:t>Precalificadora</w:t>
      </w:r>
      <w:proofErr w:type="spellEnd"/>
      <w:r>
        <w:t xml:space="preserve"> estará integrada por las siguientes personas, todas pertenecientes a la División Salvador de Codelco Chile:</w:t>
      </w:r>
    </w:p>
    <w:p w:rsidR="000032FA" w:rsidRDefault="002513CB" w:rsidP="0048782D">
      <w:pPr>
        <w:jc w:val="both"/>
      </w:pPr>
      <w:r>
        <w:rPr>
          <w:noProof/>
          <w:lang w:eastAsia="es-CL"/>
        </w:rPr>
        <w:drawing>
          <wp:inline distT="0" distB="0" distL="0" distR="0" wp14:anchorId="513E02C4">
            <wp:extent cx="5715000" cy="196061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7671" cy="1961527"/>
                    </a:xfrm>
                    <a:prstGeom prst="rect">
                      <a:avLst/>
                    </a:prstGeom>
                    <a:noFill/>
                  </pic:spPr>
                </pic:pic>
              </a:graphicData>
            </a:graphic>
          </wp:inline>
        </w:drawing>
      </w:r>
    </w:p>
    <w:p w:rsidR="004B154E" w:rsidRDefault="004B154E">
      <w:r>
        <w:br w:type="page"/>
      </w:r>
    </w:p>
    <w:p w:rsidR="0028289A" w:rsidRDefault="004B154E">
      <w:r w:rsidRPr="004B154E">
        <w:lastRenderedPageBreak/>
        <w:drawing>
          <wp:inline distT="0" distB="0" distL="0" distR="0" wp14:anchorId="019E9BD5" wp14:editId="3CCCF593">
            <wp:extent cx="5612130" cy="7933152"/>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933152"/>
                    </a:xfrm>
                    <a:prstGeom prst="rect">
                      <a:avLst/>
                    </a:prstGeom>
                    <a:noFill/>
                    <a:ln>
                      <a:noFill/>
                    </a:ln>
                  </pic:spPr>
                </pic:pic>
              </a:graphicData>
            </a:graphic>
          </wp:inline>
        </w:drawing>
      </w:r>
      <w:bookmarkStart w:id="0" w:name="_GoBack"/>
      <w:bookmarkEnd w:id="0"/>
    </w:p>
    <w:p w:rsidR="0048782D" w:rsidRDefault="0048782D"/>
    <w:sectPr w:rsidR="004878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altName w:val="Segoe Script"/>
    <w:charset w:val="00"/>
    <w:family w:val="auto"/>
    <w:pitch w:val="variable"/>
    <w:sig w:usb0="00000001"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2F69"/>
    <w:multiLevelType w:val="hybridMultilevel"/>
    <w:tmpl w:val="188E69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26446B5"/>
    <w:multiLevelType w:val="hybridMultilevel"/>
    <w:tmpl w:val="B9D6FB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7455634"/>
    <w:multiLevelType w:val="hybridMultilevel"/>
    <w:tmpl w:val="BB38DE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4A62C77"/>
    <w:multiLevelType w:val="hybridMultilevel"/>
    <w:tmpl w:val="2D0456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716509D"/>
    <w:multiLevelType w:val="hybridMultilevel"/>
    <w:tmpl w:val="BE7C0E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DCB05B0"/>
    <w:multiLevelType w:val="hybridMultilevel"/>
    <w:tmpl w:val="DCE4C8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9DC6F46"/>
    <w:multiLevelType w:val="hybridMultilevel"/>
    <w:tmpl w:val="3CCA70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993425D"/>
    <w:multiLevelType w:val="hybridMultilevel"/>
    <w:tmpl w:val="4BB6DD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6B"/>
    <w:rsid w:val="000032FA"/>
    <w:rsid w:val="00050467"/>
    <w:rsid w:val="00062C9E"/>
    <w:rsid w:val="002513CB"/>
    <w:rsid w:val="0028289A"/>
    <w:rsid w:val="002C66D7"/>
    <w:rsid w:val="00340D1E"/>
    <w:rsid w:val="003A5A0C"/>
    <w:rsid w:val="0048782D"/>
    <w:rsid w:val="004B154E"/>
    <w:rsid w:val="00533603"/>
    <w:rsid w:val="00554733"/>
    <w:rsid w:val="005A6D9E"/>
    <w:rsid w:val="005E1F5A"/>
    <w:rsid w:val="00685C02"/>
    <w:rsid w:val="00883A94"/>
    <w:rsid w:val="0094470C"/>
    <w:rsid w:val="00C11A22"/>
    <w:rsid w:val="00E778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7786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E778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86B"/>
    <w:rPr>
      <w:rFonts w:ascii="Tahoma" w:hAnsi="Tahoma" w:cs="Tahoma"/>
      <w:sz w:val="16"/>
      <w:szCs w:val="16"/>
    </w:rPr>
  </w:style>
  <w:style w:type="paragraph" w:styleId="Prrafodelista">
    <w:name w:val="List Paragraph"/>
    <w:basedOn w:val="Normal"/>
    <w:uiPriority w:val="34"/>
    <w:qFormat/>
    <w:rsid w:val="00062C9E"/>
    <w:pPr>
      <w:ind w:left="720"/>
      <w:contextualSpacing/>
    </w:pPr>
  </w:style>
  <w:style w:type="paragraph" w:customStyle="1" w:styleId="Default">
    <w:name w:val="Default"/>
    <w:rsid w:val="00062C9E"/>
    <w:pPr>
      <w:autoSpaceDE w:val="0"/>
      <w:autoSpaceDN w:val="0"/>
      <w:adjustRightInd w:val="0"/>
      <w:spacing w:after="0" w:line="240" w:lineRule="auto"/>
    </w:pPr>
    <w:rPr>
      <w:rFonts w:ascii="Arial" w:eastAsiaTheme="minorEastAsia" w:hAnsi="Arial" w:cs="Arial"/>
      <w:color w:val="000000"/>
      <w:sz w:val="24"/>
      <w:szCs w:val="24"/>
      <w:lang w:eastAsia="es-CL"/>
    </w:rPr>
  </w:style>
  <w:style w:type="table" w:styleId="Tablaconcuadrcula">
    <w:name w:val="Table Grid"/>
    <w:basedOn w:val="Tablanormal"/>
    <w:uiPriority w:val="59"/>
    <w:rsid w:val="00062C9E"/>
    <w:pPr>
      <w:spacing w:after="0" w:line="240" w:lineRule="auto"/>
    </w:pPr>
    <w:rPr>
      <w:rFonts w:ascii="Arial" w:eastAsia="Times New Roman" w:hAnsi="Arial"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3A5A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7786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E778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86B"/>
    <w:rPr>
      <w:rFonts w:ascii="Tahoma" w:hAnsi="Tahoma" w:cs="Tahoma"/>
      <w:sz w:val="16"/>
      <w:szCs w:val="16"/>
    </w:rPr>
  </w:style>
  <w:style w:type="paragraph" w:styleId="Prrafodelista">
    <w:name w:val="List Paragraph"/>
    <w:basedOn w:val="Normal"/>
    <w:uiPriority w:val="34"/>
    <w:qFormat/>
    <w:rsid w:val="00062C9E"/>
    <w:pPr>
      <w:ind w:left="720"/>
      <w:contextualSpacing/>
    </w:pPr>
  </w:style>
  <w:style w:type="paragraph" w:customStyle="1" w:styleId="Default">
    <w:name w:val="Default"/>
    <w:rsid w:val="00062C9E"/>
    <w:pPr>
      <w:autoSpaceDE w:val="0"/>
      <w:autoSpaceDN w:val="0"/>
      <w:adjustRightInd w:val="0"/>
      <w:spacing w:after="0" w:line="240" w:lineRule="auto"/>
    </w:pPr>
    <w:rPr>
      <w:rFonts w:ascii="Arial" w:eastAsiaTheme="minorEastAsia" w:hAnsi="Arial" w:cs="Arial"/>
      <w:color w:val="000000"/>
      <w:sz w:val="24"/>
      <w:szCs w:val="24"/>
      <w:lang w:eastAsia="es-CL"/>
    </w:rPr>
  </w:style>
  <w:style w:type="table" w:styleId="Tablaconcuadrcula">
    <w:name w:val="Table Grid"/>
    <w:basedOn w:val="Tablanormal"/>
    <w:uiPriority w:val="59"/>
    <w:rsid w:val="00062C9E"/>
    <w:pPr>
      <w:spacing w:after="0" w:line="240" w:lineRule="auto"/>
    </w:pPr>
    <w:rPr>
      <w:rFonts w:ascii="Arial" w:eastAsia="Times New Roman" w:hAnsi="Arial" w:cs="Times New Roman"/>
      <w:sz w:val="20"/>
      <w:szCs w:val="20"/>
      <w:lang w:eastAsia="es-C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3A5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4271">
      <w:bodyDiv w:val="1"/>
      <w:marLeft w:val="0"/>
      <w:marRight w:val="0"/>
      <w:marTop w:val="0"/>
      <w:marBottom w:val="0"/>
      <w:divBdr>
        <w:top w:val="none" w:sz="0" w:space="0" w:color="auto"/>
        <w:left w:val="none" w:sz="0" w:space="0" w:color="auto"/>
        <w:bottom w:val="none" w:sz="0" w:space="0" w:color="auto"/>
        <w:right w:val="none" w:sz="0" w:space="0" w:color="auto"/>
      </w:divBdr>
    </w:div>
    <w:div w:id="175447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D063-7C48-41C3-B8AF-35B08F18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2391</Words>
  <Characters>13151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ovega</dc:creator>
  <cp:lastModifiedBy>ovega</cp:lastModifiedBy>
  <cp:revision>2</cp:revision>
  <cp:lastPrinted>2017-07-14T15:46:00Z</cp:lastPrinted>
  <dcterms:created xsi:type="dcterms:W3CDTF">2017-07-20T00:09:00Z</dcterms:created>
  <dcterms:modified xsi:type="dcterms:W3CDTF">2017-07-20T00:09:00Z</dcterms:modified>
</cp:coreProperties>
</file>