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B41B0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 w:rsidRPr="003B41B0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E731F9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E731F9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ETAPA PRECALIFICACION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731F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proofErr w:type="gramStart"/>
      <w:r w:rsidR="00B4484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DE  EQUIPOS</w:t>
      </w:r>
      <w:proofErr w:type="gramEnd"/>
      <w:r w:rsidR="00B4484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DE ILUMINACION</w:t>
      </w: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636330" w:rsidRDefault="00636330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636330" w:rsidRDefault="00636330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6000003921</w:t>
      </w:r>
    </w:p>
    <w:p w:rsidR="00636330" w:rsidRDefault="00636330" w:rsidP="00DD7F61">
      <w:pPr>
        <w:autoSpaceDE w:val="0"/>
        <w:autoSpaceDN w:val="0"/>
        <w:adjustRightInd w:val="0"/>
        <w:jc w:val="center"/>
      </w:pP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Pr="00E731F9" w:rsidRDefault="00202009" w:rsidP="00DD7F61">
      <w:pPr>
        <w:pStyle w:val="Default"/>
        <w:jc w:val="center"/>
      </w:pPr>
      <w:r>
        <w:rPr>
          <w:rFonts w:ascii="Calibri" w:hAnsi="Calibri" w:cs="Calibri"/>
          <w:b/>
          <w:bCs/>
        </w:rPr>
        <w:lastRenderedPageBreak/>
        <w:t>Noviembre</w:t>
      </w:r>
      <w:r w:rsidR="0003400F" w:rsidRPr="00E731F9">
        <w:rPr>
          <w:rFonts w:ascii="Calibri" w:hAnsi="Calibri" w:cs="Calibri"/>
          <w:b/>
          <w:bCs/>
        </w:rPr>
        <w:t xml:space="preserve"> 2017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636330" w:rsidP="00223B4C">
      <w:pPr>
        <w:pStyle w:val="Default"/>
        <w:jc w:val="center"/>
        <w:rPr>
          <w:sz w:val="20"/>
          <w:szCs w:val="20"/>
        </w:rPr>
      </w:pPr>
      <w:r w:rsidRPr="00636330">
        <w:rPr>
          <w:b/>
          <w:bCs/>
          <w:sz w:val="22"/>
          <w:szCs w:val="22"/>
        </w:rPr>
        <w:t>PRECALIFICACION 6000003921</w:t>
      </w:r>
      <w:proofErr w:type="gramStart"/>
      <w:r w:rsidR="00A0080E">
        <w:rPr>
          <w:b/>
          <w:bCs/>
          <w:sz w:val="20"/>
          <w:szCs w:val="20"/>
        </w:rPr>
        <w:t>,</w:t>
      </w:r>
      <w:r w:rsidR="00E731F9">
        <w:rPr>
          <w:b/>
          <w:bCs/>
          <w:sz w:val="20"/>
          <w:szCs w:val="20"/>
        </w:rPr>
        <w:t xml:space="preserve"> </w:t>
      </w:r>
      <w:r w:rsidR="00FD4A74">
        <w:rPr>
          <w:b/>
          <w:bCs/>
          <w:sz w:val="20"/>
          <w:szCs w:val="20"/>
        </w:rPr>
        <w:t xml:space="preserve"> REQN</w:t>
      </w:r>
      <w:proofErr w:type="gramEnd"/>
      <w:r w:rsidR="00FD4A74">
        <w:rPr>
          <w:b/>
          <w:bCs/>
          <w:sz w:val="20"/>
          <w:szCs w:val="20"/>
        </w:rPr>
        <w:t>. 1</w:t>
      </w:r>
      <w:r w:rsidR="00B44849">
        <w:rPr>
          <w:b/>
          <w:bCs/>
          <w:sz w:val="20"/>
          <w:szCs w:val="20"/>
        </w:rPr>
        <w:t>3CC14R260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B44849">
        <w:rPr>
          <w:b/>
          <w:bCs/>
          <w:sz w:val="20"/>
          <w:szCs w:val="20"/>
        </w:rPr>
        <w:t>DE EQUIPOS DE ILUMINACION</w:t>
      </w:r>
    </w:p>
    <w:p w:rsidR="00E731F9" w:rsidRDefault="00E731F9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B44849">
        <w:rPr>
          <w:b/>
          <w:bCs/>
          <w:sz w:val="20"/>
          <w:szCs w:val="20"/>
        </w:rPr>
        <w:t xml:space="preserve">REEMPLAZO SISTEMA MOLINOS DE REPASO CONCENTRADORA </w:t>
      </w:r>
      <w:r>
        <w:rPr>
          <w:b/>
          <w:bCs/>
          <w:sz w:val="20"/>
          <w:szCs w:val="20"/>
        </w:rPr>
        <w:t>– DIV. CHUQUICAMATA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636330" w:rsidRDefault="00223B4C" w:rsidP="00223B4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636330">
        <w:rPr>
          <w:b/>
          <w:bCs/>
          <w:sz w:val="22"/>
          <w:szCs w:val="22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636330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="00A35BB7"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E731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</w:t>
      </w:r>
      <w:r w:rsidR="00B85CA1">
        <w:rPr>
          <w:sz w:val="20"/>
          <w:szCs w:val="20"/>
        </w:rPr>
        <w:t xml:space="preserve">Precalificación </w:t>
      </w:r>
      <w:r>
        <w:rPr>
          <w:sz w:val="20"/>
          <w:szCs w:val="20"/>
        </w:rPr>
        <w:t xml:space="preserve">para el Suministro de </w:t>
      </w:r>
      <w:r w:rsidR="00B44849">
        <w:rPr>
          <w:sz w:val="20"/>
          <w:szCs w:val="20"/>
        </w:rPr>
        <w:t xml:space="preserve">Equipos de Iluminación 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Proyecto </w:t>
      </w:r>
      <w:r w:rsidR="00B44849">
        <w:rPr>
          <w:sz w:val="20"/>
          <w:szCs w:val="20"/>
        </w:rPr>
        <w:t xml:space="preserve">Reemplazo Sistema Molinos de Repaso Concentradora, </w:t>
      </w:r>
      <w:r w:rsidR="00E731F9">
        <w:rPr>
          <w:sz w:val="20"/>
          <w:szCs w:val="20"/>
        </w:rPr>
        <w:t xml:space="preserve"> </w:t>
      </w:r>
      <w:r w:rsidR="007A4AAD">
        <w:rPr>
          <w:sz w:val="20"/>
          <w:szCs w:val="20"/>
        </w:rPr>
        <w:t>División Chuquicamata</w:t>
      </w:r>
      <w:r w:rsidR="00E731F9">
        <w:rPr>
          <w:sz w:val="20"/>
          <w:szCs w:val="20"/>
        </w:rPr>
        <w:t xml:space="preserve"> del área </w:t>
      </w:r>
      <w:r w:rsidR="007A4AAD">
        <w:rPr>
          <w:sz w:val="20"/>
          <w:szCs w:val="20"/>
        </w:rPr>
        <w:t xml:space="preserve">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Pr="00636330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2. </w:t>
      </w:r>
      <w:r w:rsidR="00A35BB7"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Pr="00636330" w:rsidRDefault="004E1FD5" w:rsidP="004E1FD5">
      <w:pPr>
        <w:autoSpaceDE w:val="0"/>
        <w:autoSpaceDN w:val="0"/>
        <w:adjustRightInd w:val="0"/>
        <w:rPr>
          <w:rFonts w:ascii="Arial" w:hAnsi="Arial" w:cs="Arial"/>
        </w:rPr>
      </w:pPr>
      <w:r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Seleccionar </w:t>
      </w:r>
      <w:r w:rsidR="003B41B0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</w:t>
      </w:r>
      <w:r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la</w:t>
      </w:r>
      <w:r w:rsidR="003B41B0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731F9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empresa</w:t>
      </w:r>
      <w:r w:rsidR="003B41B0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 w:rsidR="00E731F9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que cumpla</w:t>
      </w:r>
      <w:r w:rsidR="003B41B0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</w:t>
      </w:r>
      <w:r w:rsidR="00E731F9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con los parámetros de preselecci</w:t>
      </w:r>
      <w:r w:rsidR="00D80EF7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ó</w:t>
      </w:r>
      <w:r w:rsidR="00E731F9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 indicados </w:t>
      </w:r>
      <w:r w:rsidR="003B41B0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para suministrar </w:t>
      </w:r>
      <w:r w:rsidR="00B44849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los equipos de iluminación.</w:t>
      </w:r>
    </w:p>
    <w:p w:rsidR="004E1FD5" w:rsidRPr="00636330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E1FD5" w:rsidRPr="00636330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 w:rsidR="00A35BB7"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A1C51" w:rsidRPr="00636330" w:rsidRDefault="00D80EF7" w:rsidP="004E1FD5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Los materiales para el presente suministro </w:t>
      </w:r>
      <w:r w:rsidR="00B44849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son los </w:t>
      </w:r>
      <w:r w:rsidR="001A1C51" w:rsidRPr="006363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que se indican en Anexo adjunto.</w:t>
      </w:r>
    </w:p>
    <w:p w:rsidR="001A1C51" w:rsidRDefault="001A1C51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636330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 w:rsidR="00A35BB7"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3633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Pr="00636330" w:rsidRDefault="004B6C26" w:rsidP="004B6C26">
      <w:pPr>
        <w:jc w:val="both"/>
        <w:rPr>
          <w:rFonts w:ascii="Arial" w:hAnsi="Arial" w:cs="Arial"/>
          <w:sz w:val="22"/>
          <w:szCs w:val="22"/>
        </w:rPr>
      </w:pPr>
      <w:r w:rsidRPr="00636330">
        <w:rPr>
          <w:rFonts w:ascii="Arial" w:hAnsi="Arial" w:cs="Arial"/>
          <w:sz w:val="22"/>
          <w:szCs w:val="22"/>
        </w:rPr>
        <w:t xml:space="preserve">El plazo de entrega </w:t>
      </w:r>
      <w:r w:rsidR="00A0080E" w:rsidRPr="00636330">
        <w:rPr>
          <w:rFonts w:ascii="Arial" w:hAnsi="Arial" w:cs="Arial"/>
          <w:sz w:val="22"/>
          <w:szCs w:val="22"/>
        </w:rPr>
        <w:t xml:space="preserve">estimado </w:t>
      </w:r>
      <w:r w:rsidRPr="00636330">
        <w:rPr>
          <w:rFonts w:ascii="Arial" w:hAnsi="Arial" w:cs="Arial"/>
          <w:sz w:val="22"/>
          <w:szCs w:val="22"/>
        </w:rPr>
        <w:t xml:space="preserve">es de </w:t>
      </w:r>
      <w:r w:rsidR="00D80EF7" w:rsidRPr="00636330">
        <w:rPr>
          <w:rFonts w:ascii="Arial" w:hAnsi="Arial" w:cs="Arial"/>
          <w:sz w:val="22"/>
          <w:szCs w:val="22"/>
        </w:rPr>
        <w:t>10</w:t>
      </w:r>
      <w:r w:rsidRPr="00636330">
        <w:rPr>
          <w:rFonts w:ascii="Arial" w:hAnsi="Arial" w:cs="Arial"/>
          <w:sz w:val="22"/>
          <w:szCs w:val="22"/>
        </w:rPr>
        <w:t xml:space="preserve"> </w:t>
      </w:r>
      <w:r w:rsidR="00E06F3C" w:rsidRPr="00636330">
        <w:rPr>
          <w:rFonts w:ascii="Arial" w:hAnsi="Arial" w:cs="Arial"/>
          <w:sz w:val="22"/>
          <w:szCs w:val="22"/>
        </w:rPr>
        <w:t>semanas</w:t>
      </w:r>
      <w:r w:rsidRPr="00636330">
        <w:rPr>
          <w:rFonts w:ascii="Arial" w:hAnsi="Arial" w:cs="Arial"/>
          <w:sz w:val="22"/>
          <w:szCs w:val="22"/>
        </w:rPr>
        <w:t xml:space="preserve"> para la totalidad de los equipos. Plazo contado desde la adjudicación</w:t>
      </w:r>
      <w:r w:rsidR="00E06F3C" w:rsidRPr="00636330">
        <w:rPr>
          <w:rFonts w:ascii="Arial" w:hAnsi="Arial" w:cs="Arial"/>
          <w:sz w:val="22"/>
          <w:szCs w:val="22"/>
        </w:rPr>
        <w:t>.</w:t>
      </w:r>
    </w:p>
    <w:p w:rsidR="00E06F3C" w:rsidRDefault="00E06F3C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636330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5. </w:t>
      </w:r>
      <w:r w:rsidR="00A35BB7" w:rsidRPr="006363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4B6C26" w:rsidRPr="006363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RECEPCION ANTECEDENTES DE </w:t>
      </w:r>
      <w:r w:rsidR="00E06F3C" w:rsidRPr="006363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PRECALIFICACION</w:t>
      </w:r>
    </w:p>
    <w:p w:rsidR="004E1FD5" w:rsidRPr="00636330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Pr="00636330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sz w:val="22"/>
          <w:szCs w:val="22"/>
          <w:lang w:eastAsia="en-US"/>
        </w:rPr>
        <w:t xml:space="preserve">Para la presente licitación, </w:t>
      </w:r>
      <w:r w:rsidR="009252DF" w:rsidRPr="00636330">
        <w:rPr>
          <w:rFonts w:ascii="Arial" w:eastAsiaTheme="minorHAnsi" w:hAnsi="Arial" w:cs="Arial"/>
          <w:sz w:val="22"/>
          <w:szCs w:val="22"/>
          <w:lang w:eastAsia="en-US"/>
        </w:rPr>
        <w:t>se establecen las siguie</w:t>
      </w:r>
      <w:r w:rsidR="00F06AC0" w:rsidRPr="00636330">
        <w:rPr>
          <w:rFonts w:ascii="Arial" w:eastAsiaTheme="minorHAnsi" w:hAnsi="Arial" w:cs="Arial"/>
          <w:sz w:val="22"/>
          <w:szCs w:val="22"/>
          <w:lang w:eastAsia="en-US"/>
        </w:rPr>
        <w:t>ntes e</w:t>
      </w:r>
      <w:r w:rsidR="009252DF" w:rsidRPr="00636330">
        <w:rPr>
          <w:rFonts w:ascii="Arial" w:eastAsiaTheme="minorHAnsi" w:hAnsi="Arial" w:cs="Arial"/>
          <w:sz w:val="22"/>
          <w:szCs w:val="22"/>
          <w:lang w:eastAsia="en-US"/>
        </w:rPr>
        <w:t>tapas:</w:t>
      </w:r>
    </w:p>
    <w:p w:rsidR="009252DF" w:rsidRPr="00636330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252DF" w:rsidRPr="00636330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sz w:val="22"/>
          <w:szCs w:val="22"/>
          <w:lang w:eastAsia="en-US"/>
        </w:rPr>
        <w:t>- Etapa I:   Precalificació</w:t>
      </w:r>
      <w:r w:rsidR="009252DF" w:rsidRPr="00636330">
        <w:rPr>
          <w:rFonts w:ascii="Arial" w:eastAsiaTheme="minorHAnsi" w:hAnsi="Arial" w:cs="Arial"/>
          <w:sz w:val="22"/>
          <w:szCs w:val="22"/>
          <w:lang w:eastAsia="en-US"/>
        </w:rPr>
        <w:t>n.</w:t>
      </w:r>
    </w:p>
    <w:p w:rsidR="009252DF" w:rsidRPr="00636330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sz w:val="22"/>
          <w:szCs w:val="22"/>
          <w:lang w:eastAsia="en-US"/>
        </w:rPr>
        <w:t>- E</w:t>
      </w:r>
      <w:r w:rsidR="00ED67FA" w:rsidRPr="00636330">
        <w:rPr>
          <w:rFonts w:ascii="Arial" w:eastAsiaTheme="minorHAnsi" w:hAnsi="Arial" w:cs="Arial"/>
          <w:sz w:val="22"/>
          <w:szCs w:val="22"/>
          <w:lang w:eastAsia="en-US"/>
        </w:rPr>
        <w:t>tapa II</w:t>
      </w:r>
      <w:proofErr w:type="gramStart"/>
      <w:r w:rsidR="00ED67FA" w:rsidRPr="00636330">
        <w:rPr>
          <w:rFonts w:ascii="Arial" w:eastAsiaTheme="minorHAnsi" w:hAnsi="Arial" w:cs="Arial"/>
          <w:sz w:val="22"/>
          <w:szCs w:val="22"/>
          <w:lang w:eastAsia="en-US"/>
        </w:rPr>
        <w:t>:  Calificación</w:t>
      </w:r>
      <w:proofErr w:type="gramEnd"/>
      <w:r w:rsidR="00ED67FA" w:rsidRPr="00636330">
        <w:rPr>
          <w:rFonts w:ascii="Arial" w:eastAsiaTheme="minorHAnsi" w:hAnsi="Arial" w:cs="Arial"/>
          <w:sz w:val="22"/>
          <w:szCs w:val="22"/>
          <w:lang w:eastAsia="en-US"/>
        </w:rPr>
        <w:t xml:space="preserve"> Oferta Té</w:t>
      </w:r>
      <w:r w:rsidR="00C87899" w:rsidRPr="00636330">
        <w:rPr>
          <w:rFonts w:ascii="Arial" w:eastAsiaTheme="minorHAnsi" w:hAnsi="Arial" w:cs="Arial"/>
          <w:sz w:val="22"/>
          <w:szCs w:val="22"/>
          <w:lang w:eastAsia="en-US"/>
        </w:rPr>
        <w:t>cnica y Económica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Pr="00636330" w:rsidRDefault="00D42547" w:rsidP="00F06A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363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5. 1 </w:t>
      </w:r>
      <w:r w:rsidR="00A35BB7" w:rsidRPr="006363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6363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PRECALIFICACION</w:t>
      </w:r>
    </w:p>
    <w:p w:rsidR="00E940B4" w:rsidRDefault="00E940B4" w:rsidP="00F06AC0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</w:p>
    <w:p w:rsidR="00E940B4" w:rsidRDefault="00E940B4" w:rsidP="00E940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La Etapa </w:t>
      </w:r>
      <w:r w:rsidR="00652711">
        <w:rPr>
          <w:rFonts w:ascii="Arial" w:eastAsiaTheme="minorHAnsi" w:hAnsi="Arial" w:cs="Arial"/>
          <w:sz w:val="18"/>
          <w:szCs w:val="18"/>
          <w:lang w:eastAsia="en-US"/>
        </w:rPr>
        <w:t xml:space="preserve">I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de Precalificación </w:t>
      </w: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>
        <w:rPr>
          <w:rFonts w:ascii="Arial" w:hAnsi="Arial" w:cs="Arial"/>
          <w:sz w:val="18"/>
          <w:szCs w:val="18"/>
        </w:rPr>
        <w:t>.</w:t>
      </w:r>
    </w:p>
    <w:p w:rsidR="00E940B4" w:rsidRDefault="00E940B4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06F3C" w:rsidRDefault="00E06F3C" w:rsidP="00D42547">
      <w:pPr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Aquellas empresas que están en </w:t>
      </w:r>
      <w:r w:rsidR="008A0903">
        <w:rPr>
          <w:rFonts w:ascii="Arial" w:eastAsiaTheme="minorHAnsi" w:hAnsi="Arial" w:cs="Arial"/>
          <w:sz w:val="18"/>
          <w:szCs w:val="18"/>
          <w:lang w:eastAsia="en-US"/>
        </w:rPr>
        <w:t>el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Registro </w:t>
      </w:r>
      <w:r w:rsidR="00636330">
        <w:rPr>
          <w:rFonts w:ascii="Arial" w:eastAsiaTheme="minorHAnsi" w:hAnsi="Arial" w:cs="Arial"/>
          <w:sz w:val="18"/>
          <w:szCs w:val="18"/>
          <w:lang w:eastAsia="en-US"/>
        </w:rPr>
        <w:t>de Codelco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y tienen interés en participar, serán incluidas siempre y cuando estén vigentes en los registros </w:t>
      </w:r>
      <w:r w:rsidR="00E8568F">
        <w:rPr>
          <w:rFonts w:ascii="Arial" w:eastAsiaTheme="minorHAnsi" w:hAnsi="Arial" w:cs="Arial"/>
          <w:sz w:val="18"/>
          <w:szCs w:val="18"/>
          <w:lang w:eastAsia="en-US"/>
        </w:rPr>
        <w:t xml:space="preserve">y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que </w:t>
      </w:r>
      <w:r w:rsidR="00E8568F">
        <w:rPr>
          <w:rFonts w:ascii="Arial" w:eastAsiaTheme="minorHAnsi" w:hAnsi="Arial" w:cs="Arial"/>
          <w:sz w:val="18"/>
          <w:szCs w:val="18"/>
          <w:lang w:eastAsia="en-US"/>
        </w:rPr>
        <w:t xml:space="preserve">además suministren los </w:t>
      </w:r>
      <w:r w:rsidR="00A0080E">
        <w:rPr>
          <w:rFonts w:ascii="Arial" w:eastAsiaTheme="minorHAnsi" w:hAnsi="Arial" w:cs="Arial"/>
          <w:sz w:val="18"/>
          <w:szCs w:val="18"/>
          <w:lang w:eastAsia="en-US"/>
        </w:rPr>
        <w:t>bienes</w:t>
      </w:r>
      <w:r w:rsidR="00E8568F">
        <w:rPr>
          <w:rFonts w:ascii="Arial" w:eastAsiaTheme="minorHAnsi" w:hAnsi="Arial" w:cs="Arial"/>
          <w:sz w:val="18"/>
          <w:szCs w:val="18"/>
          <w:lang w:eastAsia="en-US"/>
        </w:rPr>
        <w:t xml:space="preserve"> requeridos en la presente precalificación y deberán enviar antecedentes que demuestren ser proveedores de Equipos de Iluminación.   </w:t>
      </w:r>
    </w:p>
    <w:p w:rsidR="008A0903" w:rsidRDefault="008A0903" w:rsidP="00D42547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8A0903" w:rsidRDefault="008A0903" w:rsidP="008A0903">
      <w:pPr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</w:t>
      </w:r>
      <w:r w:rsidRPr="00202009">
        <w:rPr>
          <w:rFonts w:ascii="Arial" w:eastAsiaTheme="minorHAnsi" w:hAnsi="Arial" w:cs="Arial"/>
          <w:sz w:val="18"/>
          <w:szCs w:val="18"/>
          <w:lang w:eastAsia="en-US"/>
        </w:rPr>
        <w:t xml:space="preserve">as empresas que tienen interés en participar y </w:t>
      </w:r>
      <w:proofErr w:type="gramStart"/>
      <w:r w:rsidRPr="00202009">
        <w:rPr>
          <w:rFonts w:ascii="Arial" w:eastAsiaTheme="minorHAnsi" w:hAnsi="Arial" w:cs="Arial"/>
          <w:sz w:val="18"/>
          <w:szCs w:val="18"/>
          <w:lang w:eastAsia="en-US"/>
        </w:rPr>
        <w:t xml:space="preserve">que  </w:t>
      </w:r>
      <w:r w:rsidR="00636330" w:rsidRPr="00636330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N</w:t>
      </w:r>
      <w:r w:rsidRPr="00636330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o</w:t>
      </w:r>
      <w:proofErr w:type="gramEnd"/>
      <w:r w:rsidRPr="00202009">
        <w:rPr>
          <w:rFonts w:ascii="Arial" w:eastAsiaTheme="minorHAnsi" w:hAnsi="Arial" w:cs="Arial"/>
          <w:sz w:val="18"/>
          <w:szCs w:val="18"/>
          <w:lang w:eastAsia="en-US"/>
        </w:rPr>
        <w:t xml:space="preserve"> están inscritas en ningún registro de Codelco, ya sea en </w:t>
      </w:r>
      <w:r w:rsidR="00636330">
        <w:rPr>
          <w:rFonts w:ascii="Arial" w:eastAsiaTheme="minorHAnsi" w:hAnsi="Arial" w:cs="Arial"/>
          <w:sz w:val="18"/>
          <w:szCs w:val="18"/>
          <w:lang w:eastAsia="en-US"/>
        </w:rPr>
        <w:t>el Registro de Proveedores y Contratistas (</w:t>
      </w:r>
      <w:proofErr w:type="spellStart"/>
      <w:r w:rsidRPr="00202009">
        <w:rPr>
          <w:rFonts w:ascii="Arial" w:eastAsiaTheme="minorHAnsi" w:hAnsi="Arial" w:cs="Arial"/>
          <w:sz w:val="18"/>
          <w:szCs w:val="18"/>
          <w:lang w:eastAsia="en-US"/>
        </w:rPr>
        <w:t>Regic</w:t>
      </w:r>
      <w:proofErr w:type="spellEnd"/>
      <w:r w:rsidR="00636330">
        <w:rPr>
          <w:rFonts w:ascii="Arial" w:eastAsiaTheme="minorHAnsi" w:hAnsi="Arial" w:cs="Arial"/>
          <w:sz w:val="18"/>
          <w:szCs w:val="18"/>
          <w:lang w:eastAsia="en-US"/>
        </w:rPr>
        <w:t xml:space="preserve">) </w:t>
      </w:r>
      <w:r w:rsidRPr="0020200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202009">
        <w:rPr>
          <w:rFonts w:ascii="Arial" w:eastAsiaTheme="minorHAnsi" w:hAnsi="Arial" w:cs="Arial"/>
          <w:sz w:val="18"/>
          <w:szCs w:val="18"/>
          <w:lang w:eastAsia="en-US"/>
        </w:rPr>
        <w:t>ó</w:t>
      </w:r>
      <w:proofErr w:type="spellEnd"/>
      <w:r w:rsidRPr="00202009">
        <w:rPr>
          <w:rFonts w:ascii="Arial" w:eastAsiaTheme="minorHAnsi" w:hAnsi="Arial" w:cs="Arial"/>
          <w:sz w:val="18"/>
          <w:szCs w:val="18"/>
          <w:lang w:eastAsia="en-US"/>
        </w:rPr>
        <w:t xml:space="preserve"> la que lo reemplace,  éstas serán sometidas a una precalificación y serán evaluadas con los antecedentes preliminares que considera los siguientes aspectos:  </w:t>
      </w:r>
    </w:p>
    <w:p w:rsidR="008A0903" w:rsidRPr="00202009" w:rsidRDefault="008A0903" w:rsidP="00D42547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BA7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ED67FA" w:rsidRPr="00F06AC0" w:rsidRDefault="00ED67FA" w:rsidP="00F06AC0">
      <w:pPr>
        <w:spacing w:before="120" w:after="120"/>
        <w:ind w:left="567"/>
        <w:jc w:val="both"/>
        <w:rPr>
          <w:rFonts w:ascii="Verdana" w:hAnsi="Verdana"/>
          <w:b/>
          <w:spacing w:val="-2"/>
          <w:sz w:val="18"/>
          <w:szCs w:val="18"/>
          <w:lang w:val="es-ES_tradnl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EL PROCESO DE </w:t>
      </w:r>
      <w:r w:rsidR="0065271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PRECALIFICACION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4E28C4" w:rsidRDefault="00A0080E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participar en este proceso de precalificación, los oferentes deberán enviar correo dirigido al gestor (a) Nancy </w:t>
      </w:r>
      <w:proofErr w:type="gramStart"/>
      <w:r>
        <w:rPr>
          <w:sz w:val="18"/>
          <w:szCs w:val="18"/>
        </w:rPr>
        <w:t>Cortés  C</w:t>
      </w:r>
      <w:proofErr w:type="gramEnd"/>
      <w:r>
        <w:rPr>
          <w:sz w:val="18"/>
          <w:szCs w:val="18"/>
        </w:rPr>
        <w:t xml:space="preserve">., E-mail: </w:t>
      </w:r>
      <w:hyperlink r:id="rId11" w:history="1">
        <w:r w:rsidR="004E28C4" w:rsidRPr="004B6EFA">
          <w:rPr>
            <w:rStyle w:val="Hipervnculo"/>
            <w:sz w:val="18"/>
            <w:szCs w:val="18"/>
          </w:rPr>
          <w:t>ncort001@codelco.cl</w:t>
        </w:r>
      </w:hyperlink>
      <w:r w:rsidR="004E28C4">
        <w:rPr>
          <w:sz w:val="18"/>
          <w:szCs w:val="18"/>
        </w:rPr>
        <w:t xml:space="preserve"> con copia a </w:t>
      </w:r>
      <w:hyperlink r:id="rId12" w:history="1">
        <w:r w:rsidR="004E28C4" w:rsidRPr="004B6EFA">
          <w:rPr>
            <w:rStyle w:val="Hipervnculo"/>
            <w:sz w:val="18"/>
            <w:szCs w:val="18"/>
          </w:rPr>
          <w:t>ccort048@codelco.cl</w:t>
        </w:r>
      </w:hyperlink>
      <w:r w:rsidR="004E28C4">
        <w:rPr>
          <w:sz w:val="18"/>
          <w:szCs w:val="18"/>
        </w:rPr>
        <w:t xml:space="preserve">, indicar en asunto: </w:t>
      </w:r>
      <w:r w:rsidR="00026AF6">
        <w:rPr>
          <w:sz w:val="18"/>
          <w:szCs w:val="18"/>
        </w:rPr>
        <w:t xml:space="preserve">el número de la Licitación </w:t>
      </w:r>
      <w:r w:rsidR="00026AF6" w:rsidRPr="00636330">
        <w:rPr>
          <w:b/>
          <w:sz w:val="18"/>
          <w:szCs w:val="18"/>
        </w:rPr>
        <w:t>6000</w:t>
      </w:r>
      <w:r w:rsidR="00636330" w:rsidRPr="00636330">
        <w:rPr>
          <w:b/>
          <w:sz w:val="18"/>
          <w:szCs w:val="18"/>
        </w:rPr>
        <w:t>0</w:t>
      </w:r>
      <w:r w:rsidR="00026AF6" w:rsidRPr="00636330">
        <w:rPr>
          <w:b/>
          <w:sz w:val="18"/>
          <w:szCs w:val="18"/>
        </w:rPr>
        <w:t>0</w:t>
      </w:r>
      <w:r w:rsidR="00636330" w:rsidRPr="00636330">
        <w:rPr>
          <w:b/>
          <w:sz w:val="18"/>
          <w:szCs w:val="18"/>
        </w:rPr>
        <w:t>3921</w:t>
      </w:r>
      <w:r w:rsidR="00026AF6">
        <w:rPr>
          <w:sz w:val="18"/>
          <w:szCs w:val="18"/>
        </w:rPr>
        <w:t xml:space="preserve"> correspondiente a la </w:t>
      </w:r>
      <w:r w:rsidR="004E28C4">
        <w:rPr>
          <w:sz w:val="18"/>
          <w:szCs w:val="18"/>
        </w:rPr>
        <w:t>Precalificación por Equipos de Iluminación, además indicar razón social y RUT de empresa.</w:t>
      </w:r>
    </w:p>
    <w:p w:rsidR="008A0903" w:rsidRDefault="008A0903" w:rsidP="00223B4C">
      <w:pPr>
        <w:pStyle w:val="Default"/>
        <w:jc w:val="both"/>
        <w:rPr>
          <w:sz w:val="18"/>
          <w:szCs w:val="18"/>
        </w:rPr>
      </w:pPr>
    </w:p>
    <w:p w:rsidR="004E28C4" w:rsidRDefault="00026AF6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Una vez recibid</w:t>
      </w:r>
      <w:r w:rsidR="00126AAB">
        <w:rPr>
          <w:sz w:val="18"/>
          <w:szCs w:val="18"/>
        </w:rPr>
        <w:t>o</w:t>
      </w:r>
      <w:r>
        <w:rPr>
          <w:sz w:val="18"/>
          <w:szCs w:val="18"/>
        </w:rPr>
        <w:t xml:space="preserve"> el correo</w:t>
      </w:r>
      <w:proofErr w:type="gramStart"/>
      <w:r>
        <w:rPr>
          <w:sz w:val="18"/>
          <w:szCs w:val="18"/>
        </w:rPr>
        <w:t>,  Codelco</w:t>
      </w:r>
      <w:proofErr w:type="gramEnd"/>
      <w:r>
        <w:rPr>
          <w:sz w:val="18"/>
          <w:szCs w:val="18"/>
        </w:rPr>
        <w:t xml:space="preserve"> procederá a invitar a los oferentes </w:t>
      </w:r>
      <w:r w:rsidR="00636330">
        <w:rPr>
          <w:sz w:val="18"/>
          <w:szCs w:val="18"/>
        </w:rPr>
        <w:t xml:space="preserve">para que presenten </w:t>
      </w:r>
      <w:r w:rsidR="00CD0621">
        <w:rPr>
          <w:sz w:val="18"/>
          <w:szCs w:val="18"/>
        </w:rPr>
        <w:t>los formularios de precalificación a través del Portal de Compras de Codelco, SRM,  la plataforma de licitaciones electrónicas de Codelco.</w:t>
      </w:r>
    </w:p>
    <w:p w:rsidR="00026AF6" w:rsidRDefault="00026AF6" w:rsidP="00223B4C">
      <w:pPr>
        <w:pStyle w:val="Default"/>
        <w:jc w:val="both"/>
        <w:rPr>
          <w:sz w:val="18"/>
          <w:szCs w:val="18"/>
        </w:rPr>
      </w:pPr>
    </w:p>
    <w:p w:rsidR="00C87899" w:rsidRDefault="004E28C4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oferentes se deberán ajustar al Calendario del proceso de precalificación indicado en el punto 7 y deberán </w:t>
      </w:r>
      <w:r w:rsidR="00CD0621">
        <w:rPr>
          <w:sz w:val="18"/>
          <w:szCs w:val="18"/>
        </w:rPr>
        <w:t xml:space="preserve">manifestar su intención de participar hasta el 21-11-2017 hasta las 11:00 </w:t>
      </w:r>
      <w:proofErr w:type="spellStart"/>
      <w:r w:rsidR="00CD0621">
        <w:rPr>
          <w:sz w:val="18"/>
          <w:szCs w:val="18"/>
        </w:rPr>
        <w:t>hrs</w:t>
      </w:r>
      <w:proofErr w:type="spellEnd"/>
      <w:r w:rsidR="00CD0621">
        <w:rPr>
          <w:sz w:val="18"/>
          <w:szCs w:val="18"/>
        </w:rPr>
        <w:t xml:space="preserve">. A.M., Codelco </w:t>
      </w:r>
      <w:r>
        <w:rPr>
          <w:sz w:val="18"/>
          <w:szCs w:val="18"/>
        </w:rPr>
        <w:t>enviar</w:t>
      </w:r>
      <w:r w:rsidR="00CD0621">
        <w:rPr>
          <w:sz w:val="18"/>
          <w:szCs w:val="18"/>
        </w:rPr>
        <w:t>á</w:t>
      </w:r>
      <w:r>
        <w:rPr>
          <w:sz w:val="18"/>
          <w:szCs w:val="18"/>
        </w:rPr>
        <w:t xml:space="preserve"> los antecedentes </w:t>
      </w:r>
      <w:proofErr w:type="gramStart"/>
      <w:r>
        <w:rPr>
          <w:sz w:val="18"/>
          <w:szCs w:val="18"/>
        </w:rPr>
        <w:t>de  precalificación</w:t>
      </w:r>
      <w:proofErr w:type="gramEnd"/>
      <w:r>
        <w:rPr>
          <w:sz w:val="18"/>
          <w:szCs w:val="18"/>
        </w:rPr>
        <w:t xml:space="preserve"> </w:t>
      </w:r>
      <w:r w:rsidR="00CD0621">
        <w:rPr>
          <w:sz w:val="18"/>
          <w:szCs w:val="18"/>
        </w:rPr>
        <w:t xml:space="preserve">el </w:t>
      </w:r>
      <w:r>
        <w:rPr>
          <w:sz w:val="18"/>
          <w:szCs w:val="18"/>
        </w:rPr>
        <w:t>2</w:t>
      </w:r>
      <w:r w:rsidR="00CD0621">
        <w:rPr>
          <w:sz w:val="18"/>
          <w:szCs w:val="18"/>
        </w:rPr>
        <w:t>1</w:t>
      </w:r>
      <w:r>
        <w:rPr>
          <w:sz w:val="18"/>
          <w:szCs w:val="18"/>
        </w:rPr>
        <w:t xml:space="preserve">-11-2017, </w:t>
      </w:r>
      <w:r w:rsidR="00CD0621">
        <w:rPr>
          <w:sz w:val="18"/>
          <w:szCs w:val="18"/>
        </w:rPr>
        <w:t xml:space="preserve">después de las 17:00 </w:t>
      </w:r>
      <w:proofErr w:type="spellStart"/>
      <w:r w:rsidR="00CD0621">
        <w:rPr>
          <w:sz w:val="18"/>
          <w:szCs w:val="18"/>
        </w:rPr>
        <w:t>Hrs</w:t>
      </w:r>
      <w:proofErr w:type="spellEnd"/>
      <w:r w:rsidR="00CD062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en caso </w:t>
      </w:r>
      <w:r w:rsidR="00CD0621">
        <w:rPr>
          <w:sz w:val="18"/>
          <w:szCs w:val="18"/>
        </w:rPr>
        <w:t xml:space="preserve">de recibir algún requerimiento fuera del itinerario, </w:t>
      </w:r>
      <w:r>
        <w:rPr>
          <w:sz w:val="18"/>
          <w:szCs w:val="18"/>
        </w:rPr>
        <w:t>podría quedar fuera</w:t>
      </w:r>
      <w:r w:rsidR="00C87899">
        <w:rPr>
          <w:sz w:val="18"/>
          <w:szCs w:val="18"/>
        </w:rPr>
        <w:t xml:space="preserve"> de la precalificación y será </w:t>
      </w:r>
      <w:r>
        <w:rPr>
          <w:sz w:val="18"/>
          <w:szCs w:val="18"/>
        </w:rPr>
        <w:t xml:space="preserve"> </w:t>
      </w:r>
      <w:r w:rsidR="00C87899">
        <w:rPr>
          <w:sz w:val="18"/>
          <w:szCs w:val="18"/>
        </w:rPr>
        <w:t>de su entera responsabilidad, dado que este proceso se rige por un cronograma que tiene hitos que cumplir.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7"/>
        <w:gridCol w:w="2435"/>
        <w:gridCol w:w="2220"/>
        <w:gridCol w:w="1914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BF075D" w:rsidP="006D0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26AAB">
              <w:rPr>
                <w:rFonts w:ascii="Arial" w:hAnsi="Arial" w:cs="Arial"/>
                <w:sz w:val="18"/>
                <w:szCs w:val="18"/>
              </w:rPr>
              <w:t>7</w:t>
            </w:r>
            <w:r w:rsidR="006D0881">
              <w:rPr>
                <w:rFonts w:ascii="Arial" w:hAnsi="Arial" w:cs="Arial"/>
                <w:sz w:val="18"/>
                <w:szCs w:val="18"/>
              </w:rPr>
              <w:t>-</w:t>
            </w:r>
            <w:r w:rsidR="00B85CA1">
              <w:rPr>
                <w:rFonts w:ascii="Arial" w:hAnsi="Arial" w:cs="Arial"/>
                <w:sz w:val="18"/>
                <w:szCs w:val="18"/>
              </w:rPr>
              <w:t>11</w:t>
            </w:r>
            <w:r w:rsidR="006D0881">
              <w:rPr>
                <w:rFonts w:ascii="Arial" w:hAnsi="Arial" w:cs="Arial"/>
                <w:sz w:val="18"/>
                <w:szCs w:val="18"/>
              </w:rPr>
              <w:t>-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881" w:rsidRPr="004B6C26" w:rsidTr="00ED67FA">
        <w:trPr>
          <w:trHeight w:val="552"/>
        </w:trPr>
        <w:tc>
          <w:tcPr>
            <w:tcW w:w="3229" w:type="dxa"/>
          </w:tcPr>
          <w:p w:rsidR="006D0881" w:rsidRDefault="006D0881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 Intención de Participación</w:t>
            </w:r>
          </w:p>
        </w:tc>
        <w:tc>
          <w:tcPr>
            <w:tcW w:w="2453" w:type="dxa"/>
          </w:tcPr>
          <w:p w:rsidR="006D0881" w:rsidRDefault="006D0881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Correos</w:t>
            </w:r>
          </w:p>
          <w:p w:rsidR="006D0881" w:rsidRDefault="006D0881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0D27D9">
                <w:rPr>
                  <w:rStyle w:val="Hipervnculo"/>
                  <w:sz w:val="18"/>
                  <w:szCs w:val="18"/>
                </w:rPr>
                <w:t>Ncort001@codelco.cl</w:t>
              </w:r>
            </w:hyperlink>
          </w:p>
          <w:p w:rsidR="006D0881" w:rsidRDefault="006D0881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4" w:history="1">
              <w:r w:rsidRPr="000D27D9">
                <w:rPr>
                  <w:rStyle w:val="Hipervnculo"/>
                  <w:sz w:val="18"/>
                  <w:szCs w:val="18"/>
                </w:rPr>
                <w:t>Ccort048@codelco.cl</w:t>
              </w:r>
            </w:hyperlink>
          </w:p>
          <w:p w:rsidR="006D0881" w:rsidRDefault="006D0881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D0881" w:rsidRDefault="006D0881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</w:tcPr>
          <w:p w:rsidR="006D0881" w:rsidRDefault="006D0881" w:rsidP="00CD0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21-11-2017</w:t>
            </w:r>
          </w:p>
        </w:tc>
        <w:tc>
          <w:tcPr>
            <w:tcW w:w="1948" w:type="dxa"/>
          </w:tcPr>
          <w:p w:rsidR="006D0881" w:rsidRDefault="006D0881" w:rsidP="00CD0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11:00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A.M.</w:t>
            </w:r>
          </w:p>
        </w:tc>
      </w:tr>
      <w:tr w:rsidR="006D0881" w:rsidRPr="004B6C26" w:rsidTr="00ED67FA">
        <w:trPr>
          <w:trHeight w:val="552"/>
        </w:trPr>
        <w:tc>
          <w:tcPr>
            <w:tcW w:w="3229" w:type="dxa"/>
          </w:tcPr>
          <w:p w:rsidR="006D0881" w:rsidRPr="003E72C6" w:rsidRDefault="006D0881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Invitación por el Portal de Compras </w:t>
            </w:r>
          </w:p>
        </w:tc>
        <w:tc>
          <w:tcPr>
            <w:tcW w:w="2453" w:type="dxa"/>
          </w:tcPr>
          <w:p w:rsidR="006D0881" w:rsidRPr="003E72C6" w:rsidRDefault="006D0881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6D0881" w:rsidRDefault="006D0881" w:rsidP="00CD0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21-11-2017</w:t>
            </w:r>
          </w:p>
        </w:tc>
        <w:tc>
          <w:tcPr>
            <w:tcW w:w="1948" w:type="dxa"/>
          </w:tcPr>
          <w:p w:rsidR="006D0881" w:rsidRDefault="006D0881" w:rsidP="00CD0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Después de las 17:00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CD0621" w:rsidP="00CD0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B85CA1">
              <w:rPr>
                <w:rFonts w:ascii="Arial" w:hAnsi="Arial" w:cs="Arial"/>
                <w:sz w:val="18"/>
                <w:szCs w:val="18"/>
              </w:rPr>
              <w:t>11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3E72C6" w:rsidP="006D0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CD062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6D088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B85CA1" w:rsidP="00126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6AAB">
              <w:rPr>
                <w:rFonts w:ascii="Arial" w:hAnsi="Arial" w:cs="Arial"/>
                <w:sz w:val="18"/>
                <w:szCs w:val="18"/>
              </w:rPr>
              <w:t>8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p w:rsidR="00B85CA1" w:rsidRDefault="00B85CA1" w:rsidP="00223B4C">
      <w:pPr>
        <w:pStyle w:val="Default"/>
        <w:jc w:val="both"/>
        <w:rPr>
          <w:sz w:val="18"/>
          <w:szCs w:val="18"/>
        </w:rPr>
      </w:pPr>
    </w:p>
    <w:p w:rsidR="00B85CA1" w:rsidRDefault="00B85CA1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continuar con el proceso del suministro de </w:t>
      </w:r>
      <w:r w:rsidR="00BF075D">
        <w:rPr>
          <w:sz w:val="18"/>
          <w:szCs w:val="18"/>
        </w:rPr>
        <w:t xml:space="preserve">Equipos de </w:t>
      </w:r>
      <w:proofErr w:type="spellStart"/>
      <w:r>
        <w:rPr>
          <w:sz w:val="18"/>
          <w:szCs w:val="18"/>
        </w:rPr>
        <w:t>luminariasy</w:t>
      </w:r>
      <w:proofErr w:type="spellEnd"/>
      <w:r>
        <w:rPr>
          <w:sz w:val="18"/>
          <w:szCs w:val="18"/>
        </w:rPr>
        <w:t xml:space="preserve"> después de evaluar a los oferentes que presentaron los antecedentes en la etapa I de la precalificación,  los proveedores que calificaron </w:t>
      </w:r>
      <w:r w:rsidR="00836138">
        <w:rPr>
          <w:sz w:val="18"/>
          <w:szCs w:val="18"/>
        </w:rPr>
        <w:t>y cumplieron con los criterios de calificación serán invitados a participar y presentar Oferta Técnica y Económica en</w:t>
      </w:r>
      <w:r w:rsidR="001A1C51">
        <w:rPr>
          <w:sz w:val="18"/>
          <w:szCs w:val="18"/>
        </w:rPr>
        <w:t xml:space="preserve"> el Portal de Compras</w:t>
      </w:r>
      <w:r w:rsidR="00BF075D">
        <w:rPr>
          <w:sz w:val="18"/>
          <w:szCs w:val="18"/>
        </w:rPr>
        <w:t>.</w:t>
      </w:r>
    </w:p>
    <w:p w:rsidR="00C87899" w:rsidRDefault="00C87899" w:rsidP="00223B4C">
      <w:pPr>
        <w:pStyle w:val="Default"/>
        <w:jc w:val="both"/>
        <w:rPr>
          <w:sz w:val="18"/>
          <w:szCs w:val="18"/>
        </w:rPr>
      </w:pPr>
    </w:p>
    <w:p w:rsidR="00C87899" w:rsidRDefault="00C87899" w:rsidP="00223B4C">
      <w:pPr>
        <w:pStyle w:val="Default"/>
        <w:jc w:val="both"/>
        <w:rPr>
          <w:sz w:val="18"/>
          <w:szCs w:val="18"/>
        </w:rPr>
      </w:pPr>
    </w:p>
    <w:p w:rsidR="001A1C51" w:rsidRDefault="001A1C51">
      <w:pPr>
        <w:spacing w:after="200" w:line="276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bookmarkStart w:id="0" w:name="_GoBack"/>
      <w:bookmarkEnd w:id="0"/>
    </w:p>
    <w:p w:rsidR="001A1C51" w:rsidRDefault="001A1C51" w:rsidP="001A1C51">
      <w:pPr>
        <w:pStyle w:val="Default"/>
        <w:jc w:val="center"/>
        <w:rPr>
          <w:b/>
          <w:sz w:val="22"/>
          <w:szCs w:val="22"/>
        </w:rPr>
      </w:pPr>
      <w:r w:rsidRPr="001A1C51">
        <w:rPr>
          <w:b/>
          <w:sz w:val="22"/>
          <w:szCs w:val="22"/>
        </w:rPr>
        <w:lastRenderedPageBreak/>
        <w:t>ANEXO – MATERIALES PARA EL SUMINISTRO DE EQUIPOS DE LUMINARIAS</w:t>
      </w:r>
    </w:p>
    <w:p w:rsidR="00B47113" w:rsidRDefault="00B47113" w:rsidP="001A1C51">
      <w:pPr>
        <w:pStyle w:val="Default"/>
        <w:jc w:val="center"/>
        <w:rPr>
          <w:b/>
          <w:sz w:val="22"/>
          <w:szCs w:val="22"/>
        </w:rPr>
      </w:pPr>
    </w:p>
    <w:tbl>
      <w:tblPr>
        <w:tblW w:w="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60"/>
        <w:gridCol w:w="160"/>
        <w:gridCol w:w="160"/>
        <w:gridCol w:w="87"/>
        <w:gridCol w:w="567"/>
        <w:gridCol w:w="850"/>
        <w:gridCol w:w="15"/>
        <w:gridCol w:w="836"/>
        <w:gridCol w:w="4252"/>
      </w:tblGrid>
      <w:tr w:rsidR="00B47113" w:rsidRPr="00852A3D" w:rsidTr="00B5383E">
        <w:trPr>
          <w:gridBefore w:val="1"/>
          <w:gridAfter w:val="6"/>
          <w:wBefore w:w="212" w:type="dxa"/>
          <w:wAfter w:w="6607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13" w:rsidRPr="00852A3D" w:rsidRDefault="00B47113" w:rsidP="00B5383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13" w:rsidRPr="00852A3D" w:rsidRDefault="00B47113" w:rsidP="00B5383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13" w:rsidRPr="00852A3D" w:rsidRDefault="00B47113" w:rsidP="00B5383E"/>
        </w:tc>
      </w:tr>
      <w:tr w:rsidR="00B47113" w:rsidRPr="00852A3D" w:rsidTr="00B5383E">
        <w:trPr>
          <w:gridBefore w:val="1"/>
          <w:gridAfter w:val="6"/>
          <w:wBefore w:w="212" w:type="dxa"/>
          <w:wAfter w:w="6607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13" w:rsidRPr="00852A3D" w:rsidRDefault="00B47113" w:rsidP="00B5383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13" w:rsidRPr="00852A3D" w:rsidRDefault="00B47113" w:rsidP="00B5383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113" w:rsidRPr="00852A3D" w:rsidRDefault="00B47113" w:rsidP="00B5383E"/>
        </w:tc>
      </w:tr>
      <w:tr w:rsidR="00B47113" w:rsidRPr="000670DC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088" w:type="dxa"/>
          <w:trHeight w:val="394"/>
        </w:trPr>
        <w:tc>
          <w:tcPr>
            <w:tcW w:w="2211" w:type="dxa"/>
            <w:gridSpan w:val="8"/>
            <w:vAlign w:val="center"/>
          </w:tcPr>
          <w:p w:rsidR="00B47113" w:rsidRPr="000670DC" w:rsidRDefault="00B47113" w:rsidP="00B5383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47113" w:rsidRPr="000670DC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79" w:type="dxa"/>
            <w:gridSpan w:val="5"/>
            <w:vAlign w:val="center"/>
          </w:tcPr>
          <w:p w:rsidR="00B47113" w:rsidRPr="000670DC" w:rsidRDefault="00B47113" w:rsidP="00B5383E">
            <w:pPr>
              <w:jc w:val="center"/>
              <w:rPr>
                <w:rFonts w:ascii="Arial" w:hAnsi="Arial" w:cs="Arial"/>
                <w:sz w:val="12"/>
              </w:rPr>
            </w:pPr>
            <w:r w:rsidRPr="000670DC">
              <w:rPr>
                <w:rFonts w:ascii="Arial" w:hAnsi="Arial" w:cs="Arial"/>
                <w:sz w:val="12"/>
              </w:rPr>
              <w:t>CÓDIGO MATERIAL</w:t>
            </w:r>
          </w:p>
        </w:tc>
        <w:tc>
          <w:tcPr>
            <w:tcW w:w="567" w:type="dxa"/>
            <w:vAlign w:val="center"/>
          </w:tcPr>
          <w:p w:rsidR="00B47113" w:rsidRPr="000670DC" w:rsidRDefault="00B47113" w:rsidP="00B5383E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0670DC">
              <w:rPr>
                <w:rFonts w:ascii="Arial" w:hAnsi="Arial" w:cs="Arial"/>
                <w:sz w:val="12"/>
                <w:lang w:val="en-US"/>
              </w:rPr>
              <w:t>ITEM Nº</w:t>
            </w:r>
          </w:p>
        </w:tc>
        <w:tc>
          <w:tcPr>
            <w:tcW w:w="850" w:type="dxa"/>
            <w:vAlign w:val="center"/>
          </w:tcPr>
          <w:p w:rsidR="00B47113" w:rsidRPr="000670DC" w:rsidRDefault="00B47113" w:rsidP="00B5383E">
            <w:pPr>
              <w:ind w:left="-13" w:right="-7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0670DC">
              <w:rPr>
                <w:rFonts w:ascii="Arial" w:hAnsi="Arial" w:cs="Arial"/>
                <w:sz w:val="12"/>
                <w:lang w:val="en-US"/>
              </w:rPr>
              <w:t>UNIDAD ITEM</w:t>
            </w:r>
          </w:p>
        </w:tc>
        <w:tc>
          <w:tcPr>
            <w:tcW w:w="851" w:type="dxa"/>
            <w:gridSpan w:val="2"/>
            <w:vAlign w:val="center"/>
          </w:tcPr>
          <w:p w:rsidR="00B47113" w:rsidRPr="000670DC" w:rsidRDefault="00B47113" w:rsidP="00B5383E">
            <w:pPr>
              <w:jc w:val="center"/>
              <w:rPr>
                <w:rFonts w:ascii="Arial" w:hAnsi="Arial" w:cs="Arial"/>
                <w:sz w:val="12"/>
              </w:rPr>
            </w:pPr>
            <w:r w:rsidRPr="000670DC">
              <w:rPr>
                <w:rFonts w:ascii="Arial" w:hAnsi="Arial" w:cs="Arial"/>
                <w:sz w:val="12"/>
              </w:rPr>
              <w:t>CANTIDAD REQUERIDA</w:t>
            </w:r>
          </w:p>
        </w:tc>
        <w:tc>
          <w:tcPr>
            <w:tcW w:w="4252" w:type="dxa"/>
            <w:vAlign w:val="center"/>
          </w:tcPr>
          <w:p w:rsidR="00B47113" w:rsidRPr="000670DC" w:rsidRDefault="00B47113" w:rsidP="00B5383E">
            <w:pPr>
              <w:jc w:val="both"/>
              <w:rPr>
                <w:rFonts w:ascii="Arial" w:hAnsi="Arial" w:cs="Arial"/>
              </w:rPr>
            </w:pPr>
          </w:p>
        </w:tc>
      </w:tr>
      <w:tr w:rsidR="00B47113" w:rsidRPr="000670DC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779" w:type="dxa"/>
            <w:gridSpan w:val="5"/>
            <w:vAlign w:val="center"/>
          </w:tcPr>
          <w:p w:rsidR="00B47113" w:rsidRPr="000670DC" w:rsidRDefault="00B47113" w:rsidP="00B53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50064484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UNIDAD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7113" w:rsidRPr="00DF4856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47113" w:rsidRPr="00110F9F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110F9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LUMINARIA LED TIPO CAMPANA INDUSTRIAL (HIGH BAY), OUTDOOR,</w:t>
            </w:r>
          </w:p>
          <w:p w:rsidR="00B47113" w:rsidRPr="00110F9F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0F9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 GANCHO PARA MONTAJE</w:t>
            </w:r>
          </w:p>
          <w:p w:rsidR="00B47113" w:rsidRPr="00E46E11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Voltaje: 220Vac, 50Hz.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Potencia ~200W alto rendimiento.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Protección: IP65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 Factor potencia.: 0,9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 certificación SEC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Flujo lumínico: mayor a 20.000 lúmenes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Vida útil: 50.000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47113" w:rsidRPr="008A39A0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7113" w:rsidRPr="000670DC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779" w:type="dxa"/>
            <w:gridSpan w:val="5"/>
            <w:vAlign w:val="center"/>
          </w:tcPr>
          <w:p w:rsidR="00B47113" w:rsidRPr="000670DC" w:rsidRDefault="00B47113" w:rsidP="00B53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50064485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113" w:rsidRPr="00B831BD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604B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PROYECTOR LED TIPO FLOOD LIGHT INDUSTRIAL</w:t>
            </w:r>
            <w:r w:rsidRPr="00B831B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47113" w:rsidRPr="00B831BD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831B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 QUALI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 outdoor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Voltaje: 220Vac, 50Hz.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Potencia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~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200 W alto rendimiento.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Protección: IP65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 Factor potencia.: 0,9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 certificación SEC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Flujo lumínico: mayor a 20.000 lúmenes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Vida útil: 50000hrs </w:t>
            </w:r>
          </w:p>
          <w:p w:rsidR="00B47113" w:rsidRPr="002E0111" w:rsidRDefault="00B47113" w:rsidP="00B53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113" w:rsidRPr="000670DC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779" w:type="dxa"/>
            <w:gridSpan w:val="5"/>
            <w:vAlign w:val="center"/>
          </w:tcPr>
          <w:p w:rsidR="00B47113" w:rsidRPr="000670DC" w:rsidRDefault="00B47113" w:rsidP="00B538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50064486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7113" w:rsidRPr="00C820F2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0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EQUIPO ESTANCO LED TIPO COROLINE O SIMILAR, INDUSTRIAL HIGH QUALITY, CON KIT DE EMERGENCIA 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Voltaje: 220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50 Hz.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Potencia ~41W alto rendimiento.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Protección: IP65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 Factor potencia.: 0,9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 certificación SEC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Flujo lumínico: mayor a 4.000 lúmenes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Vida útil: 50.000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</w:p>
          <w:p w:rsidR="00B47113" w:rsidRPr="00DF4856" w:rsidRDefault="00B47113" w:rsidP="00B538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113" w:rsidRPr="000670DC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779" w:type="dxa"/>
            <w:gridSpan w:val="5"/>
            <w:vAlign w:val="center"/>
          </w:tcPr>
          <w:p w:rsidR="00B47113" w:rsidRPr="000670DC" w:rsidRDefault="00B47113" w:rsidP="00B53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50064487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113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B47113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LUMINARIA DE EMERGENCIA LED DE 2 FOCOS ,  INDUSTRIAL HIGH QUALITY </w:t>
            </w:r>
          </w:p>
          <w:p w:rsidR="00B47113" w:rsidRPr="00C604B4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Voltaje: 220Vac, 50Hz.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Potencia 2x21W alto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endimiento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Protección: IP65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 Factor potencia.: 0,9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 certificación SEC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Flujo lumínico: mayor a 1.000 lúmenes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Vida útil: 50.000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7113" w:rsidRPr="00D8533E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7113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6"/>
        </w:trPr>
        <w:tc>
          <w:tcPr>
            <w:tcW w:w="779" w:type="dxa"/>
            <w:gridSpan w:val="5"/>
            <w:vAlign w:val="center"/>
          </w:tcPr>
          <w:p w:rsidR="00B47113" w:rsidRDefault="00B47113" w:rsidP="00B538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50064488</w:t>
            </w:r>
          </w:p>
          <w:p w:rsidR="00B47113" w:rsidRPr="000670DC" w:rsidRDefault="00B47113" w:rsidP="00B538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7113" w:rsidRPr="00265340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53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LUMINARIA ALUMBRADO PUBLICO LED, INDUSTRIAL HIGH QUALITY 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Voltaje: 220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50 Hz.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Potencia ~100 W.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Protección: IP65.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 Factor potencia.: 0,9.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 certificación SEC.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Flujo lumínico: mayor a 11.000 lúmenes.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Vida útil: 50.000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47113" w:rsidRPr="00D8533E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7113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6"/>
        </w:trPr>
        <w:tc>
          <w:tcPr>
            <w:tcW w:w="779" w:type="dxa"/>
            <w:gridSpan w:val="5"/>
            <w:vAlign w:val="center"/>
          </w:tcPr>
          <w:p w:rsidR="00B47113" w:rsidRPr="000670DC" w:rsidRDefault="00B47113" w:rsidP="00B538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50064489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113" w:rsidRPr="000C6102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7113" w:rsidRPr="000C6102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61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LUMINARIA ALUMBRADO PUBLICO LED, INDUSTRIAL HIGH QUALITY </w:t>
            </w:r>
          </w:p>
          <w:p w:rsidR="00B47113" w:rsidRPr="00E46E11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Voltaje: 220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50 Hz.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Potencia ~210 W.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Protección: IP65.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 Factor potencia.: 0,9.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 certificación SEC.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Flujo lumínico: mayor a 11.000 lúmenes.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Vida útil: 50.000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47113" w:rsidRPr="00F70A29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7113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6"/>
        </w:trPr>
        <w:tc>
          <w:tcPr>
            <w:tcW w:w="779" w:type="dxa"/>
            <w:gridSpan w:val="5"/>
            <w:vAlign w:val="center"/>
          </w:tcPr>
          <w:p w:rsidR="00B47113" w:rsidRPr="000670DC" w:rsidRDefault="00B47113" w:rsidP="00B538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50064540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47113" w:rsidRPr="00C604B4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C604B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LUMINARIA WALLPACK LED</w:t>
            </w:r>
          </w:p>
          <w:p w:rsidR="00B47113" w:rsidRPr="00C604B4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C604B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HIGH QUALITY 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47113" w:rsidRPr="00C604B4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604B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Voltaje</w:t>
            </w:r>
            <w:proofErr w:type="spellEnd"/>
            <w:r w:rsidRPr="00C604B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220Vac, 50Hz.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Potencia ~40W.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Protección: IP65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 Factor potencia.: 0,9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 certificación SEC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Flujo lumínico: mayor a 3.000 lúmenes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Vida útil: 50000hrs</w:t>
            </w:r>
          </w:p>
          <w:p w:rsidR="00B47113" w:rsidRPr="00D8533E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7113" w:rsidRPr="000670DC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6"/>
        </w:trPr>
        <w:tc>
          <w:tcPr>
            <w:tcW w:w="779" w:type="dxa"/>
            <w:gridSpan w:val="5"/>
            <w:vAlign w:val="center"/>
          </w:tcPr>
          <w:p w:rsidR="00B47113" w:rsidRPr="000670DC" w:rsidRDefault="00B47113" w:rsidP="00B538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50064541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7113" w:rsidRDefault="00B47113" w:rsidP="00B53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113" w:rsidRPr="000C6102" w:rsidRDefault="00B47113" w:rsidP="00B5383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61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LAMPARA MH-SAP (SODIO ALTA POTENCIA) </w:t>
            </w: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47113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 150 W, PARA LUMINARIA TIPO ALUMBRADO PUBLICO LUMENAX URBIS SAP 150 E.</w:t>
            </w:r>
          </w:p>
          <w:p w:rsidR="00B47113" w:rsidRPr="00F70A29" w:rsidRDefault="00B47113" w:rsidP="00B53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Voltaje: 220 VAC, 50 Hz</w:t>
            </w:r>
          </w:p>
        </w:tc>
      </w:tr>
      <w:tr w:rsidR="00B47113" w:rsidRPr="000670DC" w:rsidTr="00B538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59"/>
        </w:trPr>
        <w:tc>
          <w:tcPr>
            <w:tcW w:w="779" w:type="dxa"/>
            <w:gridSpan w:val="5"/>
            <w:vAlign w:val="center"/>
          </w:tcPr>
          <w:p w:rsidR="00B47113" w:rsidRPr="000670DC" w:rsidRDefault="00B47113" w:rsidP="00B538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7113" w:rsidRDefault="00B47113" w:rsidP="00B53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7113" w:rsidRPr="000670DC" w:rsidRDefault="00B47113" w:rsidP="00B538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7113" w:rsidRPr="000670DC" w:rsidRDefault="00B47113" w:rsidP="00B5383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:rsidR="00B47113" w:rsidRPr="000670DC" w:rsidRDefault="00B47113" w:rsidP="00B5383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B47113" w:rsidRDefault="00B47113" w:rsidP="00B47113">
      <w:pPr>
        <w:pStyle w:val="Default"/>
        <w:rPr>
          <w:b/>
          <w:sz w:val="22"/>
          <w:szCs w:val="22"/>
        </w:rPr>
      </w:pPr>
    </w:p>
    <w:p w:rsidR="001A1C51" w:rsidRDefault="001A1C51" w:rsidP="001A1C51">
      <w:pPr>
        <w:pStyle w:val="Default"/>
        <w:jc w:val="center"/>
        <w:rPr>
          <w:b/>
          <w:sz w:val="22"/>
          <w:szCs w:val="22"/>
        </w:rPr>
      </w:pPr>
    </w:p>
    <w:p w:rsidR="001A1C51" w:rsidRPr="001A1C51" w:rsidRDefault="001A1C51" w:rsidP="001A1C51">
      <w:pPr>
        <w:pStyle w:val="Default"/>
        <w:rPr>
          <w:b/>
          <w:sz w:val="22"/>
          <w:szCs w:val="22"/>
        </w:rPr>
      </w:pPr>
    </w:p>
    <w:p w:rsidR="00836138" w:rsidRDefault="00836138" w:rsidP="00223B4C">
      <w:pPr>
        <w:pStyle w:val="Default"/>
        <w:jc w:val="both"/>
        <w:rPr>
          <w:sz w:val="18"/>
          <w:szCs w:val="18"/>
        </w:rPr>
      </w:pPr>
    </w:p>
    <w:p w:rsidR="001A1C51" w:rsidRPr="004E1FD5" w:rsidRDefault="001A1C51" w:rsidP="001A1C51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A1C51" w:rsidRDefault="001A1C51" w:rsidP="001A1C51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1A1C51" w:rsidRDefault="001A1C51" w:rsidP="001A1C51">
      <w:pPr>
        <w:pStyle w:val="Default"/>
        <w:jc w:val="both"/>
        <w:rPr>
          <w:rFonts w:ascii="Wingdings" w:hAnsi="Wingdings" w:cs="Wingdings"/>
          <w:sz w:val="22"/>
          <w:szCs w:val="22"/>
        </w:rPr>
      </w:pPr>
    </w:p>
    <w:p w:rsidR="00836138" w:rsidRPr="004B6C26" w:rsidRDefault="00836138" w:rsidP="00223B4C">
      <w:pPr>
        <w:pStyle w:val="Default"/>
        <w:jc w:val="both"/>
        <w:rPr>
          <w:sz w:val="18"/>
          <w:szCs w:val="18"/>
        </w:rPr>
      </w:pPr>
    </w:p>
    <w:sectPr w:rsidR="00836138" w:rsidRPr="004B6C26" w:rsidSect="00711E46">
      <w:footerReference w:type="default" r:id="rId15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23" w:rsidRDefault="00C30023" w:rsidP="00711E46">
      <w:r>
        <w:separator/>
      </w:r>
    </w:p>
  </w:endnote>
  <w:endnote w:type="continuationSeparator" w:id="0">
    <w:p w:rsidR="00C30023" w:rsidRDefault="00C30023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B95F37">
      <w:fldChar w:fldCharType="begin"/>
    </w:r>
    <w:r w:rsidR="00B95F37">
      <w:instrText xml:space="preserve"> PAGE   \* MERGEFORMAT </w:instrText>
    </w:r>
    <w:r w:rsidR="00B95F37">
      <w:fldChar w:fldCharType="separate"/>
    </w:r>
    <w:r w:rsidR="006D0881" w:rsidRPr="006D0881">
      <w:rPr>
        <w:rFonts w:asciiTheme="majorHAnsi" w:hAnsiTheme="majorHAnsi"/>
        <w:noProof/>
      </w:rPr>
      <w:t>5</w:t>
    </w:r>
    <w:r w:rsidR="00B95F37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23" w:rsidRDefault="00C30023" w:rsidP="00711E46">
      <w:r>
        <w:separator/>
      </w:r>
    </w:p>
  </w:footnote>
  <w:footnote w:type="continuationSeparator" w:id="0">
    <w:p w:rsidR="00C30023" w:rsidRDefault="00C30023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26AF6"/>
    <w:rsid w:val="0003400F"/>
    <w:rsid w:val="00034E28"/>
    <w:rsid w:val="00047ECD"/>
    <w:rsid w:val="00071F26"/>
    <w:rsid w:val="00076EEB"/>
    <w:rsid w:val="00096576"/>
    <w:rsid w:val="000A39F1"/>
    <w:rsid w:val="000A7102"/>
    <w:rsid w:val="00117572"/>
    <w:rsid w:val="00126AAB"/>
    <w:rsid w:val="00134383"/>
    <w:rsid w:val="001553DF"/>
    <w:rsid w:val="00187AEF"/>
    <w:rsid w:val="001A1C51"/>
    <w:rsid w:val="00202009"/>
    <w:rsid w:val="00223B4C"/>
    <w:rsid w:val="00226E9A"/>
    <w:rsid w:val="0029585D"/>
    <w:rsid w:val="002A3FE4"/>
    <w:rsid w:val="002B2007"/>
    <w:rsid w:val="002D3516"/>
    <w:rsid w:val="002E4408"/>
    <w:rsid w:val="002F77D4"/>
    <w:rsid w:val="00333B22"/>
    <w:rsid w:val="0037279D"/>
    <w:rsid w:val="003854E8"/>
    <w:rsid w:val="003A6C91"/>
    <w:rsid w:val="003B41B0"/>
    <w:rsid w:val="003E72C6"/>
    <w:rsid w:val="0041734C"/>
    <w:rsid w:val="004B6C26"/>
    <w:rsid w:val="004D6BAF"/>
    <w:rsid w:val="004E1FD5"/>
    <w:rsid w:val="004E28C4"/>
    <w:rsid w:val="00521119"/>
    <w:rsid w:val="0055289A"/>
    <w:rsid w:val="00620CC2"/>
    <w:rsid w:val="006314FB"/>
    <w:rsid w:val="00636330"/>
    <w:rsid w:val="00652711"/>
    <w:rsid w:val="00660A2C"/>
    <w:rsid w:val="00661818"/>
    <w:rsid w:val="00680CDF"/>
    <w:rsid w:val="006C31E5"/>
    <w:rsid w:val="006D0881"/>
    <w:rsid w:val="00711E46"/>
    <w:rsid w:val="00732DA7"/>
    <w:rsid w:val="00751AC8"/>
    <w:rsid w:val="007827D6"/>
    <w:rsid w:val="007A4AAD"/>
    <w:rsid w:val="007A73B6"/>
    <w:rsid w:val="00815E8C"/>
    <w:rsid w:val="008360A8"/>
    <w:rsid w:val="00836138"/>
    <w:rsid w:val="008613C4"/>
    <w:rsid w:val="00893F9D"/>
    <w:rsid w:val="008A0903"/>
    <w:rsid w:val="008C4073"/>
    <w:rsid w:val="008E58F0"/>
    <w:rsid w:val="0092228C"/>
    <w:rsid w:val="009252DF"/>
    <w:rsid w:val="00925C28"/>
    <w:rsid w:val="009545A9"/>
    <w:rsid w:val="009833AA"/>
    <w:rsid w:val="009D5977"/>
    <w:rsid w:val="00A0080E"/>
    <w:rsid w:val="00A35BB7"/>
    <w:rsid w:val="00A41D6A"/>
    <w:rsid w:val="00A441AA"/>
    <w:rsid w:val="00A6647B"/>
    <w:rsid w:val="00A87792"/>
    <w:rsid w:val="00A973E3"/>
    <w:rsid w:val="00A97DC8"/>
    <w:rsid w:val="00B00474"/>
    <w:rsid w:val="00B06A02"/>
    <w:rsid w:val="00B44849"/>
    <w:rsid w:val="00B47113"/>
    <w:rsid w:val="00B56221"/>
    <w:rsid w:val="00B76DB8"/>
    <w:rsid w:val="00B83120"/>
    <w:rsid w:val="00B85CA1"/>
    <w:rsid w:val="00B95F37"/>
    <w:rsid w:val="00BA71FF"/>
    <w:rsid w:val="00BB511E"/>
    <w:rsid w:val="00BF075D"/>
    <w:rsid w:val="00C30023"/>
    <w:rsid w:val="00C458BB"/>
    <w:rsid w:val="00C87899"/>
    <w:rsid w:val="00CD0621"/>
    <w:rsid w:val="00D42547"/>
    <w:rsid w:val="00D714C8"/>
    <w:rsid w:val="00D80EF7"/>
    <w:rsid w:val="00DD7F61"/>
    <w:rsid w:val="00E06F3C"/>
    <w:rsid w:val="00E27045"/>
    <w:rsid w:val="00E35001"/>
    <w:rsid w:val="00E53818"/>
    <w:rsid w:val="00E731F9"/>
    <w:rsid w:val="00E8277D"/>
    <w:rsid w:val="00E8568F"/>
    <w:rsid w:val="00E940B4"/>
    <w:rsid w:val="00EA70D9"/>
    <w:rsid w:val="00ED67FA"/>
    <w:rsid w:val="00EF4257"/>
    <w:rsid w:val="00F0544D"/>
    <w:rsid w:val="00F06AC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81C50-24F5-41BB-B4E7-F311C7E0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cort001@codelco.c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ort048@codelco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cort001@codelco.c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cort048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Cortés Castillo Nancy (Codelco-Chuquicamata)</cp:lastModifiedBy>
  <cp:revision>2</cp:revision>
  <cp:lastPrinted>2017-11-15T14:05:00Z</cp:lastPrinted>
  <dcterms:created xsi:type="dcterms:W3CDTF">2017-11-17T21:14:00Z</dcterms:created>
  <dcterms:modified xsi:type="dcterms:W3CDTF">2017-11-17T21:14:00Z</dcterms:modified>
</cp:coreProperties>
</file>